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9BD417" w14:textId="10902111" w:rsidR="00AA2242" w:rsidRDefault="002901EB">
      <w:pPr>
        <w:rPr>
          <w:rFonts w:ascii="Calibri" w:hAnsi="Calibri" w:cs="Calibri"/>
          <w:b/>
          <w:bCs/>
          <w:sz w:val="24"/>
          <w:szCs w:val="24"/>
          <w:lang w:val="en-GB"/>
        </w:rPr>
      </w:pPr>
      <w:r>
        <w:rPr>
          <w:rFonts w:ascii="Calibri" w:hAnsi="Calibri" w:cs="Calibri"/>
          <w:b/>
          <w:bCs/>
          <w:sz w:val="24"/>
          <w:szCs w:val="24"/>
          <w:lang w:val="en-GB"/>
        </w:rPr>
        <w:t xml:space="preserve">2. </w:t>
      </w:r>
      <w:r w:rsidR="001E50F1" w:rsidRPr="001E50F1">
        <w:rPr>
          <w:rFonts w:ascii="Calibri" w:hAnsi="Calibri" w:cs="Calibri"/>
          <w:b/>
          <w:bCs/>
          <w:sz w:val="24"/>
          <w:szCs w:val="24"/>
          <w:lang w:val="en-GB"/>
        </w:rPr>
        <w:t>Choosing Surge Protection</w:t>
      </w:r>
    </w:p>
    <w:p w14:paraId="08B2DBF9" w14:textId="77777777" w:rsidR="00CC79DA" w:rsidRDefault="00CC79DA">
      <w:pPr>
        <w:rPr>
          <w:rFonts w:ascii="Calibri" w:hAnsi="Calibri" w:cs="Calibri"/>
          <w:b/>
          <w:bCs/>
          <w:sz w:val="24"/>
          <w:szCs w:val="24"/>
          <w:lang w:val="en-GB"/>
        </w:rPr>
      </w:pPr>
    </w:p>
    <w:p w14:paraId="2EAE23B4" w14:textId="7AD0C711" w:rsidR="00CC79DA" w:rsidRPr="001E50F1" w:rsidRDefault="00CC79DA">
      <w:pPr>
        <w:rPr>
          <w:rFonts w:ascii="Calibri" w:hAnsi="Calibri" w:cs="Calibri"/>
          <w:b/>
          <w:bCs/>
          <w:sz w:val="24"/>
          <w:szCs w:val="24"/>
          <w:lang w:val="en-GB"/>
        </w:rPr>
      </w:pPr>
      <w:r>
        <w:rPr>
          <w:rFonts w:ascii="Calibri" w:hAnsi="Calibri" w:cs="Calibri"/>
          <w:b/>
          <w:bCs/>
          <w:sz w:val="24"/>
          <w:szCs w:val="24"/>
          <w:lang w:val="en-GB"/>
        </w:rPr>
        <w:t xml:space="preserve">2.1 Risk </w:t>
      </w:r>
      <w:r w:rsidR="00F11598">
        <w:rPr>
          <w:rFonts w:ascii="Calibri" w:hAnsi="Calibri" w:cs="Calibri"/>
          <w:b/>
          <w:bCs/>
          <w:sz w:val="24"/>
          <w:szCs w:val="24"/>
          <w:lang w:val="en-GB"/>
        </w:rPr>
        <w:t>a</w:t>
      </w:r>
      <w:r>
        <w:rPr>
          <w:rFonts w:ascii="Calibri" w:hAnsi="Calibri" w:cs="Calibri"/>
          <w:b/>
          <w:bCs/>
          <w:sz w:val="24"/>
          <w:szCs w:val="24"/>
          <w:lang w:val="en-GB"/>
        </w:rPr>
        <w:t>ssessment</w:t>
      </w:r>
    </w:p>
    <w:p w14:paraId="21236FC9" w14:textId="77777777" w:rsidR="001E50F1" w:rsidRPr="001E50F1" w:rsidRDefault="001E50F1">
      <w:pPr>
        <w:rPr>
          <w:rFonts w:ascii="Calibri" w:hAnsi="Calibri" w:cs="Calibri"/>
          <w:sz w:val="24"/>
          <w:szCs w:val="24"/>
          <w:lang w:val="en-GB"/>
        </w:rPr>
      </w:pPr>
    </w:p>
    <w:p w14:paraId="4B5CA72A" w14:textId="3E2D752E" w:rsidR="001E50F1" w:rsidRDefault="001E50F1">
      <w:pPr>
        <w:rPr>
          <w:rFonts w:ascii="Calibri" w:hAnsi="Calibri" w:cs="Calibri"/>
          <w:sz w:val="24"/>
          <w:szCs w:val="24"/>
          <w:lang w:val="en-GB"/>
        </w:rPr>
      </w:pPr>
      <w:r w:rsidRPr="001E50F1">
        <w:rPr>
          <w:rFonts w:ascii="Calibri" w:hAnsi="Calibri" w:cs="Calibri"/>
          <w:sz w:val="24"/>
          <w:szCs w:val="24"/>
          <w:lang w:val="en-GB"/>
        </w:rPr>
        <w:t xml:space="preserve">Historically lightning protection </w:t>
      </w:r>
      <w:r w:rsidR="007D7D81">
        <w:rPr>
          <w:rFonts w:ascii="Calibri" w:hAnsi="Calibri" w:cs="Calibri"/>
          <w:sz w:val="24"/>
          <w:szCs w:val="24"/>
          <w:lang w:val="en-GB"/>
        </w:rPr>
        <w:t xml:space="preserve">was concerned </w:t>
      </w:r>
      <w:r w:rsidR="002901EB">
        <w:rPr>
          <w:rFonts w:ascii="Calibri" w:hAnsi="Calibri" w:cs="Calibri"/>
          <w:sz w:val="24"/>
          <w:szCs w:val="24"/>
          <w:lang w:val="en-GB"/>
        </w:rPr>
        <w:t xml:space="preserve">only </w:t>
      </w:r>
      <w:r w:rsidR="007D7D81">
        <w:rPr>
          <w:rFonts w:ascii="Calibri" w:hAnsi="Calibri" w:cs="Calibri"/>
          <w:sz w:val="24"/>
          <w:szCs w:val="24"/>
          <w:lang w:val="en-GB"/>
        </w:rPr>
        <w:t>with</w:t>
      </w:r>
      <w:r w:rsidRPr="001E50F1">
        <w:rPr>
          <w:rFonts w:ascii="Calibri" w:hAnsi="Calibri" w:cs="Calibri"/>
          <w:sz w:val="24"/>
          <w:szCs w:val="24"/>
          <w:lang w:val="en-GB"/>
        </w:rPr>
        <w:t xml:space="preserve"> the protection of buildings and structures. </w:t>
      </w:r>
      <w:r w:rsidR="00CC79DA">
        <w:rPr>
          <w:rFonts w:ascii="Calibri" w:hAnsi="Calibri" w:cs="Calibri"/>
          <w:sz w:val="24"/>
          <w:szCs w:val="24"/>
          <w:lang w:val="en-GB"/>
        </w:rPr>
        <w:t xml:space="preserve">Since </w:t>
      </w:r>
      <w:r w:rsidRPr="001E50F1">
        <w:rPr>
          <w:rFonts w:ascii="Calibri" w:hAnsi="Calibri" w:cs="Calibri"/>
          <w:sz w:val="24"/>
          <w:szCs w:val="24"/>
          <w:lang w:val="en-GB"/>
        </w:rPr>
        <w:t>buildings were constructed of masonry and timber</w:t>
      </w:r>
      <w:r w:rsidR="007D7D81">
        <w:rPr>
          <w:rFonts w:ascii="Calibri" w:hAnsi="Calibri" w:cs="Calibri"/>
          <w:sz w:val="24"/>
          <w:szCs w:val="24"/>
          <w:lang w:val="en-GB"/>
        </w:rPr>
        <w:t>.</w:t>
      </w:r>
      <w:r w:rsidRPr="001E50F1">
        <w:rPr>
          <w:rFonts w:ascii="Calibri" w:hAnsi="Calibri" w:cs="Calibri"/>
          <w:sz w:val="24"/>
          <w:szCs w:val="24"/>
          <w:lang w:val="en-GB"/>
        </w:rPr>
        <w:t xml:space="preserve"> </w:t>
      </w:r>
      <w:r w:rsidR="00CC79DA">
        <w:rPr>
          <w:rFonts w:ascii="Calibri" w:hAnsi="Calibri" w:cs="Calibri"/>
          <w:sz w:val="24"/>
          <w:szCs w:val="24"/>
          <w:lang w:val="en-GB"/>
        </w:rPr>
        <w:t>they</w:t>
      </w:r>
      <w:r w:rsidRPr="001E50F1">
        <w:rPr>
          <w:rFonts w:ascii="Calibri" w:hAnsi="Calibri" w:cs="Calibri"/>
          <w:sz w:val="24"/>
          <w:szCs w:val="24"/>
          <w:lang w:val="en-GB"/>
        </w:rPr>
        <w:t xml:space="preserve"> constituted a significant fire hazard. Traditional lightning protection comprising air terminals, downconductors and earthing systems were developed. </w:t>
      </w:r>
    </w:p>
    <w:p w14:paraId="2C751134" w14:textId="3212680A" w:rsidR="001E50F1" w:rsidRDefault="001E50F1">
      <w:pPr>
        <w:rPr>
          <w:rFonts w:ascii="Calibri" w:hAnsi="Calibri" w:cs="Calibri"/>
          <w:sz w:val="24"/>
          <w:szCs w:val="24"/>
          <w:lang w:val="en-GB"/>
        </w:rPr>
      </w:pPr>
      <w:r>
        <w:rPr>
          <w:rFonts w:ascii="Calibri" w:hAnsi="Calibri" w:cs="Calibri"/>
          <w:sz w:val="24"/>
          <w:szCs w:val="24"/>
          <w:lang w:val="en-GB"/>
        </w:rPr>
        <w:t xml:space="preserve">Today </w:t>
      </w:r>
      <w:r w:rsidR="00B467E5">
        <w:rPr>
          <w:rFonts w:ascii="Calibri" w:hAnsi="Calibri" w:cs="Calibri"/>
          <w:sz w:val="24"/>
          <w:szCs w:val="24"/>
          <w:lang w:val="en-GB"/>
        </w:rPr>
        <w:t>modern</w:t>
      </w:r>
      <w:r>
        <w:rPr>
          <w:rFonts w:ascii="Calibri" w:hAnsi="Calibri" w:cs="Calibri"/>
          <w:sz w:val="24"/>
          <w:szCs w:val="24"/>
          <w:lang w:val="en-GB"/>
        </w:rPr>
        <w:t xml:space="preserve"> structures containing electrically conductive elements such as steel frames, metallic cladding and reinforced concrete </w:t>
      </w:r>
      <w:r w:rsidR="00B467E5">
        <w:rPr>
          <w:rFonts w:ascii="Calibri" w:hAnsi="Calibri" w:cs="Calibri"/>
          <w:sz w:val="24"/>
          <w:szCs w:val="24"/>
          <w:lang w:val="en-GB"/>
        </w:rPr>
        <w:t xml:space="preserve">are defined as self-protecting and the traditional approach is no longer applicable. </w:t>
      </w:r>
    </w:p>
    <w:p w14:paraId="0FC6F0A2" w14:textId="4D3AEC36" w:rsidR="00B467E5" w:rsidRDefault="00B467E5">
      <w:pPr>
        <w:rPr>
          <w:rFonts w:ascii="Calibri" w:hAnsi="Calibri" w:cs="Calibri"/>
          <w:sz w:val="24"/>
          <w:szCs w:val="24"/>
          <w:lang w:val="en-GB"/>
        </w:rPr>
      </w:pPr>
      <w:r>
        <w:rPr>
          <w:rFonts w:ascii="Calibri" w:hAnsi="Calibri" w:cs="Calibri"/>
          <w:sz w:val="24"/>
          <w:szCs w:val="24"/>
          <w:lang w:val="en-GB"/>
        </w:rPr>
        <w:t>As electrical services were introduced into buildings little though</w:t>
      </w:r>
      <w:r w:rsidR="0083192B">
        <w:rPr>
          <w:rFonts w:ascii="Calibri" w:hAnsi="Calibri" w:cs="Calibri"/>
          <w:sz w:val="24"/>
          <w:szCs w:val="24"/>
          <w:lang w:val="en-GB"/>
        </w:rPr>
        <w:t>t</w:t>
      </w:r>
      <w:r>
        <w:rPr>
          <w:rFonts w:ascii="Calibri" w:hAnsi="Calibri" w:cs="Calibri"/>
          <w:sz w:val="24"/>
          <w:szCs w:val="24"/>
          <w:lang w:val="en-GB"/>
        </w:rPr>
        <w:t xml:space="preserve"> was given to protecting these services against the indirect effects of a lightning strike even though the effects of an indirect strike could often be more damaging tha</w:t>
      </w:r>
      <w:r w:rsidR="002901EB">
        <w:rPr>
          <w:rFonts w:ascii="Calibri" w:hAnsi="Calibri" w:cs="Calibri"/>
          <w:sz w:val="24"/>
          <w:szCs w:val="24"/>
          <w:lang w:val="en-GB"/>
        </w:rPr>
        <w:t>n</w:t>
      </w:r>
      <w:r>
        <w:rPr>
          <w:rFonts w:ascii="Calibri" w:hAnsi="Calibri" w:cs="Calibri"/>
          <w:sz w:val="24"/>
          <w:szCs w:val="24"/>
          <w:lang w:val="en-GB"/>
        </w:rPr>
        <w:t xml:space="preserve"> a direct strike to a modern building. </w:t>
      </w:r>
    </w:p>
    <w:p w14:paraId="28FB70A1" w14:textId="52C22EE0" w:rsidR="00525342" w:rsidRDefault="002901EB">
      <w:pPr>
        <w:rPr>
          <w:rFonts w:ascii="Calibri" w:hAnsi="Calibri" w:cs="Calibri"/>
          <w:sz w:val="24"/>
          <w:szCs w:val="24"/>
          <w:lang w:val="en-GB"/>
        </w:rPr>
      </w:pPr>
      <w:r>
        <w:rPr>
          <w:rFonts w:ascii="Calibri" w:hAnsi="Calibri" w:cs="Calibri"/>
          <w:sz w:val="24"/>
          <w:szCs w:val="24"/>
          <w:lang w:val="en-GB"/>
        </w:rPr>
        <w:t xml:space="preserve">This situation is now recognised in most of the world’s lightning protection standards. The IEC standard (IEC62305-2) presents a risk assessment procedure to assess the need for direct and/or indirect lightning protection. </w:t>
      </w:r>
      <w:r w:rsidR="00B879DA">
        <w:rPr>
          <w:rFonts w:ascii="Calibri" w:hAnsi="Calibri" w:cs="Calibri"/>
          <w:sz w:val="24"/>
          <w:szCs w:val="24"/>
          <w:lang w:val="en-GB"/>
        </w:rPr>
        <w:t xml:space="preserve">The Australian Standard AS1768 provides an Excel spreadsheet to </w:t>
      </w:r>
      <w:r w:rsidR="00CC79DA">
        <w:rPr>
          <w:rFonts w:ascii="Calibri" w:hAnsi="Calibri" w:cs="Calibri"/>
          <w:sz w:val="24"/>
          <w:szCs w:val="24"/>
          <w:lang w:val="en-GB"/>
        </w:rPr>
        <w:t>simplify</w:t>
      </w:r>
      <w:r w:rsidR="00B879DA">
        <w:rPr>
          <w:rFonts w:ascii="Calibri" w:hAnsi="Calibri" w:cs="Calibri"/>
          <w:sz w:val="24"/>
          <w:szCs w:val="24"/>
          <w:lang w:val="en-GB"/>
        </w:rPr>
        <w:t xml:space="preserve"> the risk assessment procedure. </w:t>
      </w:r>
      <w:r w:rsidR="00DE61C5">
        <w:rPr>
          <w:rFonts w:ascii="Calibri" w:hAnsi="Calibri" w:cs="Calibri"/>
          <w:sz w:val="24"/>
          <w:szCs w:val="24"/>
          <w:lang w:val="en-GB"/>
        </w:rPr>
        <w:t xml:space="preserve">A typical cover page of this spreadsheet is shown in figure 1. </w:t>
      </w:r>
    </w:p>
    <w:p w14:paraId="087DAA4A" w14:textId="77777777" w:rsidR="00525342" w:rsidRDefault="00525342">
      <w:pPr>
        <w:rPr>
          <w:rFonts w:ascii="Calibri" w:hAnsi="Calibri" w:cs="Calibri"/>
          <w:sz w:val="24"/>
          <w:szCs w:val="24"/>
          <w:lang w:val="en-GB"/>
        </w:rPr>
      </w:pPr>
    </w:p>
    <w:p w14:paraId="53D62927" w14:textId="6CBF7DD7" w:rsidR="00525342" w:rsidRDefault="00525342" w:rsidP="00525342">
      <w:pPr>
        <w:jc w:val="center"/>
        <w:rPr>
          <w:rFonts w:ascii="Calibri" w:hAnsi="Calibri" w:cs="Calibri"/>
          <w:sz w:val="24"/>
          <w:szCs w:val="24"/>
          <w:lang w:val="en-GB"/>
        </w:rPr>
      </w:pPr>
      <w:r>
        <w:rPr>
          <w:noProof/>
        </w:rPr>
        <w:drawing>
          <wp:inline distT="0" distB="0" distL="0" distR="0" wp14:anchorId="094B9360" wp14:editId="557DBB11">
            <wp:extent cx="4717564" cy="3615266"/>
            <wp:effectExtent l="0" t="0" r="6985" b="4445"/>
            <wp:docPr id="1546126427" name="Picture 1"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6126427" name="Picture 1" descr="A screenshot of a computer screen&#10;&#10;Description automatically generated"/>
                    <pic:cNvPicPr/>
                  </pic:nvPicPr>
                  <pic:blipFill>
                    <a:blip r:embed="rId5"/>
                    <a:stretch>
                      <a:fillRect/>
                    </a:stretch>
                  </pic:blipFill>
                  <pic:spPr>
                    <a:xfrm>
                      <a:off x="0" y="0"/>
                      <a:ext cx="4719220" cy="3616535"/>
                    </a:xfrm>
                    <a:prstGeom prst="rect">
                      <a:avLst/>
                    </a:prstGeom>
                  </pic:spPr>
                </pic:pic>
              </a:graphicData>
            </a:graphic>
          </wp:inline>
        </w:drawing>
      </w:r>
    </w:p>
    <w:p w14:paraId="32B5536D" w14:textId="76F251BA" w:rsidR="00525342" w:rsidRPr="00525342" w:rsidRDefault="00525342" w:rsidP="00525342">
      <w:pPr>
        <w:jc w:val="center"/>
        <w:rPr>
          <w:rFonts w:ascii="Calibri" w:hAnsi="Calibri" w:cs="Calibri"/>
          <w:sz w:val="20"/>
          <w:szCs w:val="20"/>
          <w:lang w:val="en-GB"/>
        </w:rPr>
      </w:pPr>
      <w:r w:rsidRPr="00525342">
        <w:rPr>
          <w:rFonts w:ascii="Calibri" w:hAnsi="Calibri" w:cs="Calibri"/>
          <w:sz w:val="20"/>
          <w:szCs w:val="20"/>
          <w:lang w:val="en-GB"/>
        </w:rPr>
        <w:t>Figure 1. Risk Assessment from AS1768</w:t>
      </w:r>
    </w:p>
    <w:p w14:paraId="42C3BCC1" w14:textId="05B11508" w:rsidR="00CC79DA" w:rsidRDefault="00525342" w:rsidP="00525342">
      <w:pPr>
        <w:rPr>
          <w:rFonts w:ascii="Calibri" w:hAnsi="Calibri" w:cs="Calibri"/>
          <w:sz w:val="24"/>
          <w:szCs w:val="24"/>
          <w:lang w:val="en-GB"/>
        </w:rPr>
      </w:pPr>
      <w:r>
        <w:rPr>
          <w:rFonts w:ascii="Calibri" w:hAnsi="Calibri" w:cs="Calibri"/>
          <w:sz w:val="24"/>
          <w:szCs w:val="24"/>
          <w:lang w:val="en-GB"/>
        </w:rPr>
        <w:lastRenderedPageBreak/>
        <w:t xml:space="preserve">In this example the structure is all steel and therefore </w:t>
      </w:r>
      <w:r w:rsidR="00417076">
        <w:rPr>
          <w:rFonts w:ascii="Calibri" w:hAnsi="Calibri" w:cs="Calibri"/>
          <w:sz w:val="24"/>
          <w:szCs w:val="24"/>
          <w:lang w:val="en-GB"/>
        </w:rPr>
        <w:t xml:space="preserve">self-protecting. </w:t>
      </w:r>
      <w:r w:rsidR="0028574B">
        <w:rPr>
          <w:rFonts w:ascii="Calibri" w:hAnsi="Calibri" w:cs="Calibri"/>
          <w:sz w:val="24"/>
          <w:szCs w:val="24"/>
          <w:lang w:val="en-GB"/>
        </w:rPr>
        <w:t>The risk assessment</w:t>
      </w:r>
      <w:r w:rsidR="007D7D81">
        <w:rPr>
          <w:rFonts w:ascii="Calibri" w:hAnsi="Calibri" w:cs="Calibri"/>
          <w:sz w:val="24"/>
          <w:szCs w:val="24"/>
          <w:lang w:val="en-GB"/>
        </w:rPr>
        <w:t xml:space="preserve"> determines that</w:t>
      </w:r>
      <w:r w:rsidR="0028574B">
        <w:rPr>
          <w:rFonts w:ascii="Calibri" w:hAnsi="Calibri" w:cs="Calibri"/>
          <w:sz w:val="24"/>
          <w:szCs w:val="24"/>
          <w:lang w:val="en-GB"/>
        </w:rPr>
        <w:t xml:space="preserve"> only surge protection</w:t>
      </w:r>
      <w:r w:rsidR="007D7D81">
        <w:rPr>
          <w:rFonts w:ascii="Calibri" w:hAnsi="Calibri" w:cs="Calibri"/>
          <w:sz w:val="24"/>
          <w:szCs w:val="24"/>
          <w:lang w:val="en-GB"/>
        </w:rPr>
        <w:t xml:space="preserve"> is required</w:t>
      </w:r>
      <w:r w:rsidR="0028574B">
        <w:rPr>
          <w:rFonts w:ascii="Calibri" w:hAnsi="Calibri" w:cs="Calibri"/>
          <w:sz w:val="24"/>
          <w:szCs w:val="24"/>
          <w:lang w:val="en-GB"/>
        </w:rPr>
        <w:t xml:space="preserve">. </w:t>
      </w:r>
    </w:p>
    <w:p w14:paraId="5D981500" w14:textId="77777777" w:rsidR="00CC79DA" w:rsidRDefault="00CC79DA" w:rsidP="00525342">
      <w:pPr>
        <w:rPr>
          <w:rFonts w:ascii="Calibri" w:hAnsi="Calibri" w:cs="Calibri"/>
          <w:sz w:val="24"/>
          <w:szCs w:val="24"/>
          <w:lang w:val="en-GB"/>
        </w:rPr>
      </w:pPr>
    </w:p>
    <w:p w14:paraId="25DC09EF" w14:textId="25C60894" w:rsidR="00732884" w:rsidRPr="00D93264" w:rsidRDefault="00CC79DA" w:rsidP="00525342">
      <w:pPr>
        <w:rPr>
          <w:rFonts w:ascii="Calibri" w:hAnsi="Calibri" w:cs="Calibri"/>
          <w:b/>
          <w:bCs/>
          <w:sz w:val="24"/>
          <w:szCs w:val="24"/>
          <w:lang w:val="en-GB"/>
        </w:rPr>
      </w:pPr>
      <w:r w:rsidRPr="00D93264">
        <w:rPr>
          <w:rFonts w:ascii="Calibri" w:hAnsi="Calibri" w:cs="Calibri"/>
          <w:b/>
          <w:bCs/>
          <w:sz w:val="24"/>
          <w:szCs w:val="24"/>
          <w:lang w:val="en-GB"/>
        </w:rPr>
        <w:t xml:space="preserve">2.2 Sources of </w:t>
      </w:r>
      <w:r w:rsidR="00F11598">
        <w:rPr>
          <w:rFonts w:ascii="Calibri" w:hAnsi="Calibri" w:cs="Calibri"/>
          <w:b/>
          <w:bCs/>
          <w:sz w:val="24"/>
          <w:szCs w:val="24"/>
          <w:lang w:val="en-GB"/>
        </w:rPr>
        <w:t>l</w:t>
      </w:r>
      <w:r w:rsidRPr="00D93264">
        <w:rPr>
          <w:rFonts w:ascii="Calibri" w:hAnsi="Calibri" w:cs="Calibri"/>
          <w:b/>
          <w:bCs/>
          <w:sz w:val="24"/>
          <w:szCs w:val="24"/>
          <w:lang w:val="en-GB"/>
        </w:rPr>
        <w:t xml:space="preserve">ightning </w:t>
      </w:r>
      <w:r w:rsidR="00F11598">
        <w:rPr>
          <w:rFonts w:ascii="Calibri" w:hAnsi="Calibri" w:cs="Calibri"/>
          <w:b/>
          <w:bCs/>
          <w:sz w:val="24"/>
          <w:szCs w:val="24"/>
          <w:lang w:val="en-GB"/>
        </w:rPr>
        <w:t>d</w:t>
      </w:r>
      <w:r w:rsidRPr="00D93264">
        <w:rPr>
          <w:rFonts w:ascii="Calibri" w:hAnsi="Calibri" w:cs="Calibri"/>
          <w:b/>
          <w:bCs/>
          <w:sz w:val="24"/>
          <w:szCs w:val="24"/>
          <w:lang w:val="en-GB"/>
        </w:rPr>
        <w:t>amage</w:t>
      </w:r>
    </w:p>
    <w:p w14:paraId="11F0F7CD" w14:textId="5F2A499A" w:rsidR="00D93264" w:rsidRDefault="00D93264" w:rsidP="00525342">
      <w:pPr>
        <w:rPr>
          <w:rFonts w:ascii="Calibri" w:hAnsi="Calibri" w:cs="Calibri"/>
          <w:sz w:val="24"/>
          <w:szCs w:val="24"/>
          <w:lang w:val="en-GB"/>
        </w:rPr>
      </w:pPr>
      <w:r>
        <w:rPr>
          <w:rFonts w:ascii="Calibri" w:hAnsi="Calibri" w:cs="Calibri"/>
          <w:sz w:val="24"/>
          <w:szCs w:val="24"/>
          <w:lang w:val="en-GB"/>
        </w:rPr>
        <w:t>The risk assessment procedure takes into account four sources of lightning damage and the analysis presents the frequency of these event</w:t>
      </w:r>
      <w:r w:rsidR="00EB6B2A">
        <w:rPr>
          <w:rFonts w:ascii="Calibri" w:hAnsi="Calibri" w:cs="Calibri"/>
          <w:sz w:val="24"/>
          <w:szCs w:val="24"/>
          <w:lang w:val="en-GB"/>
        </w:rPr>
        <w:t>s</w:t>
      </w:r>
      <w:r>
        <w:rPr>
          <w:rFonts w:ascii="Calibri" w:hAnsi="Calibri" w:cs="Calibri"/>
          <w:sz w:val="24"/>
          <w:szCs w:val="24"/>
          <w:lang w:val="en-GB"/>
        </w:rPr>
        <w:t>, shown in the bottom right table in figure 1. These four sources are:</w:t>
      </w:r>
    </w:p>
    <w:p w14:paraId="695F46BE" w14:textId="09C019BA" w:rsidR="00D93264" w:rsidRDefault="00F11598" w:rsidP="00D93264">
      <w:pPr>
        <w:pStyle w:val="ListParagraph"/>
        <w:numPr>
          <w:ilvl w:val="0"/>
          <w:numId w:val="1"/>
        </w:numPr>
        <w:rPr>
          <w:rFonts w:ascii="Calibri" w:hAnsi="Calibri" w:cs="Calibri"/>
          <w:sz w:val="24"/>
          <w:szCs w:val="24"/>
          <w:lang w:val="en-GB"/>
        </w:rPr>
      </w:pPr>
      <w:r>
        <w:rPr>
          <w:rFonts w:ascii="Calibri" w:hAnsi="Calibri" w:cs="Calibri"/>
          <w:sz w:val="24"/>
          <w:szCs w:val="24"/>
          <w:lang w:val="en-GB"/>
        </w:rPr>
        <w:t>S1</w:t>
      </w:r>
      <w:r>
        <w:rPr>
          <w:rFonts w:ascii="Calibri" w:hAnsi="Calibri" w:cs="Calibri"/>
          <w:sz w:val="24"/>
          <w:szCs w:val="24"/>
          <w:lang w:val="en-GB"/>
        </w:rPr>
        <w:tab/>
      </w:r>
      <w:r w:rsidR="00D93264">
        <w:rPr>
          <w:rFonts w:ascii="Calibri" w:hAnsi="Calibri" w:cs="Calibri"/>
          <w:sz w:val="24"/>
          <w:szCs w:val="24"/>
          <w:lang w:val="en-GB"/>
        </w:rPr>
        <w:t>Direct strike to the structure</w:t>
      </w:r>
    </w:p>
    <w:p w14:paraId="3F2372B2" w14:textId="3B4A2805" w:rsidR="00D93264" w:rsidRDefault="00F11598" w:rsidP="00D93264">
      <w:pPr>
        <w:pStyle w:val="ListParagraph"/>
        <w:numPr>
          <w:ilvl w:val="0"/>
          <w:numId w:val="1"/>
        </w:numPr>
        <w:rPr>
          <w:rFonts w:ascii="Calibri" w:hAnsi="Calibri" w:cs="Calibri"/>
          <w:sz w:val="24"/>
          <w:szCs w:val="24"/>
          <w:lang w:val="en-GB"/>
        </w:rPr>
      </w:pPr>
      <w:r>
        <w:rPr>
          <w:rFonts w:ascii="Calibri" w:hAnsi="Calibri" w:cs="Calibri"/>
          <w:sz w:val="24"/>
          <w:szCs w:val="24"/>
          <w:lang w:val="en-GB"/>
        </w:rPr>
        <w:t>S2</w:t>
      </w:r>
      <w:r>
        <w:rPr>
          <w:rFonts w:ascii="Calibri" w:hAnsi="Calibri" w:cs="Calibri"/>
          <w:sz w:val="24"/>
          <w:szCs w:val="24"/>
          <w:lang w:val="en-GB"/>
        </w:rPr>
        <w:tab/>
        <w:t>S</w:t>
      </w:r>
      <w:r w:rsidR="00D93264">
        <w:rPr>
          <w:rFonts w:ascii="Calibri" w:hAnsi="Calibri" w:cs="Calibri"/>
          <w:sz w:val="24"/>
          <w:szCs w:val="24"/>
          <w:lang w:val="en-GB"/>
        </w:rPr>
        <w:t xml:space="preserve">trike </w:t>
      </w:r>
      <w:r>
        <w:rPr>
          <w:rFonts w:ascii="Calibri" w:hAnsi="Calibri" w:cs="Calibri"/>
          <w:sz w:val="24"/>
          <w:szCs w:val="24"/>
          <w:lang w:val="en-GB"/>
        </w:rPr>
        <w:t>near</w:t>
      </w:r>
      <w:r w:rsidR="00D93264">
        <w:rPr>
          <w:rFonts w:ascii="Calibri" w:hAnsi="Calibri" w:cs="Calibri"/>
          <w:sz w:val="24"/>
          <w:szCs w:val="24"/>
          <w:lang w:val="en-GB"/>
        </w:rPr>
        <w:t xml:space="preserve"> the structure</w:t>
      </w:r>
    </w:p>
    <w:p w14:paraId="25F16B6C" w14:textId="6D469B74" w:rsidR="00D93264" w:rsidRDefault="00F11598" w:rsidP="00D93264">
      <w:pPr>
        <w:pStyle w:val="ListParagraph"/>
        <w:numPr>
          <w:ilvl w:val="0"/>
          <w:numId w:val="1"/>
        </w:numPr>
        <w:rPr>
          <w:rFonts w:ascii="Calibri" w:hAnsi="Calibri" w:cs="Calibri"/>
          <w:sz w:val="24"/>
          <w:szCs w:val="24"/>
          <w:lang w:val="en-GB"/>
        </w:rPr>
      </w:pPr>
      <w:r>
        <w:rPr>
          <w:rFonts w:ascii="Calibri" w:hAnsi="Calibri" w:cs="Calibri"/>
          <w:sz w:val="24"/>
          <w:szCs w:val="24"/>
          <w:lang w:val="en-GB"/>
        </w:rPr>
        <w:t>S3</w:t>
      </w:r>
      <w:r>
        <w:rPr>
          <w:rFonts w:ascii="Calibri" w:hAnsi="Calibri" w:cs="Calibri"/>
          <w:sz w:val="24"/>
          <w:szCs w:val="24"/>
          <w:lang w:val="en-GB"/>
        </w:rPr>
        <w:tab/>
      </w:r>
      <w:r w:rsidR="00D93264">
        <w:rPr>
          <w:rFonts w:ascii="Calibri" w:hAnsi="Calibri" w:cs="Calibri"/>
          <w:sz w:val="24"/>
          <w:szCs w:val="24"/>
          <w:lang w:val="en-GB"/>
        </w:rPr>
        <w:t>Direct strike to a service</w:t>
      </w:r>
    </w:p>
    <w:p w14:paraId="79F50021" w14:textId="2F3D8130" w:rsidR="00D93264" w:rsidRDefault="00F11598" w:rsidP="00D93264">
      <w:pPr>
        <w:pStyle w:val="ListParagraph"/>
        <w:numPr>
          <w:ilvl w:val="0"/>
          <w:numId w:val="1"/>
        </w:numPr>
        <w:rPr>
          <w:rFonts w:ascii="Calibri" w:hAnsi="Calibri" w:cs="Calibri"/>
          <w:sz w:val="24"/>
          <w:szCs w:val="24"/>
          <w:lang w:val="en-GB"/>
        </w:rPr>
      </w:pPr>
      <w:r>
        <w:rPr>
          <w:rFonts w:ascii="Calibri" w:hAnsi="Calibri" w:cs="Calibri"/>
          <w:sz w:val="24"/>
          <w:szCs w:val="24"/>
          <w:lang w:val="en-GB"/>
        </w:rPr>
        <w:t>S4</w:t>
      </w:r>
      <w:r>
        <w:rPr>
          <w:rFonts w:ascii="Calibri" w:hAnsi="Calibri" w:cs="Calibri"/>
          <w:sz w:val="24"/>
          <w:szCs w:val="24"/>
          <w:lang w:val="en-GB"/>
        </w:rPr>
        <w:tab/>
        <w:t>S</w:t>
      </w:r>
      <w:r w:rsidR="00D93264">
        <w:rPr>
          <w:rFonts w:ascii="Calibri" w:hAnsi="Calibri" w:cs="Calibri"/>
          <w:sz w:val="24"/>
          <w:szCs w:val="24"/>
          <w:lang w:val="en-GB"/>
        </w:rPr>
        <w:t xml:space="preserve">trike </w:t>
      </w:r>
      <w:r>
        <w:rPr>
          <w:rFonts w:ascii="Calibri" w:hAnsi="Calibri" w:cs="Calibri"/>
          <w:sz w:val="24"/>
          <w:szCs w:val="24"/>
          <w:lang w:val="en-GB"/>
        </w:rPr>
        <w:t>near</w:t>
      </w:r>
      <w:r w:rsidR="00D93264">
        <w:rPr>
          <w:rFonts w:ascii="Calibri" w:hAnsi="Calibri" w:cs="Calibri"/>
          <w:sz w:val="24"/>
          <w:szCs w:val="24"/>
          <w:lang w:val="en-GB"/>
        </w:rPr>
        <w:t xml:space="preserve"> a service</w:t>
      </w:r>
    </w:p>
    <w:p w14:paraId="6CAC44FA" w14:textId="52E3F667" w:rsidR="00C10003" w:rsidRDefault="00D93264" w:rsidP="00D93264">
      <w:pPr>
        <w:rPr>
          <w:rFonts w:ascii="Calibri" w:hAnsi="Calibri" w:cs="Calibri"/>
          <w:sz w:val="24"/>
          <w:szCs w:val="24"/>
          <w:lang w:val="en-GB"/>
        </w:rPr>
      </w:pPr>
      <w:r>
        <w:rPr>
          <w:rFonts w:ascii="Calibri" w:hAnsi="Calibri" w:cs="Calibri"/>
          <w:sz w:val="24"/>
          <w:szCs w:val="24"/>
          <w:lang w:val="en-GB"/>
        </w:rPr>
        <w:t>This is summarised in figure 2 (from both IEC and AS standards)</w:t>
      </w:r>
    </w:p>
    <w:p w14:paraId="35DBC9DD" w14:textId="6589EEEB" w:rsidR="00C10003" w:rsidRPr="00CB6AE6" w:rsidRDefault="00F11598" w:rsidP="004475C0">
      <w:pPr>
        <w:jc w:val="center"/>
        <w:rPr>
          <w:rFonts w:ascii="Calibri" w:hAnsi="Calibri" w:cs="Calibri"/>
          <w:i/>
          <w:iCs/>
          <w:noProof/>
          <w:sz w:val="20"/>
          <w:szCs w:val="20"/>
        </w:rPr>
      </w:pPr>
      <w:r>
        <w:rPr>
          <w:noProof/>
        </w:rPr>
        <w:drawing>
          <wp:inline distT="0" distB="0" distL="0" distR="0" wp14:anchorId="407B6ECD" wp14:editId="4BECB4E1">
            <wp:extent cx="4151020" cy="2455333"/>
            <wp:effectExtent l="0" t="0" r="1905" b="2540"/>
            <wp:docPr id="130108716" name="Picture 1" descr="A diagram of a mach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108716" name="Picture 1" descr="A diagram of a machine&#10;&#10;Description automatically generated"/>
                    <pic:cNvPicPr/>
                  </pic:nvPicPr>
                  <pic:blipFill rotWithShape="1">
                    <a:blip r:embed="rId6"/>
                    <a:srcRect b="2994"/>
                    <a:stretch/>
                  </pic:blipFill>
                  <pic:spPr bwMode="auto">
                    <a:xfrm>
                      <a:off x="0" y="0"/>
                      <a:ext cx="4162236" cy="2461967"/>
                    </a:xfrm>
                    <a:prstGeom prst="rect">
                      <a:avLst/>
                    </a:prstGeom>
                    <a:ln>
                      <a:noFill/>
                    </a:ln>
                    <a:extLst>
                      <a:ext uri="{53640926-AAD7-44D8-BBD7-CCE9431645EC}">
                        <a14:shadowObscured xmlns:a14="http://schemas.microsoft.com/office/drawing/2010/main"/>
                      </a:ext>
                    </a:extLst>
                  </pic:spPr>
                </pic:pic>
              </a:graphicData>
            </a:graphic>
          </wp:inline>
        </w:drawing>
      </w:r>
    </w:p>
    <w:p w14:paraId="21868515" w14:textId="5E8588D3" w:rsidR="004475C0" w:rsidRDefault="004475C0" w:rsidP="004475C0">
      <w:pPr>
        <w:jc w:val="center"/>
        <w:rPr>
          <w:rFonts w:ascii="Calibri" w:hAnsi="Calibri" w:cs="Calibri"/>
          <w:sz w:val="20"/>
          <w:szCs w:val="20"/>
          <w:lang w:val="en-GB"/>
        </w:rPr>
      </w:pPr>
      <w:r w:rsidRPr="004475C0">
        <w:rPr>
          <w:rFonts w:ascii="Calibri" w:hAnsi="Calibri" w:cs="Calibri"/>
          <w:sz w:val="20"/>
          <w:szCs w:val="20"/>
          <w:lang w:val="en-GB"/>
        </w:rPr>
        <w:t>Figure 2. Sources of Lightning Damage</w:t>
      </w:r>
    </w:p>
    <w:p w14:paraId="1B8BE7D0" w14:textId="77777777" w:rsidR="004475C0" w:rsidRDefault="004475C0" w:rsidP="004475C0">
      <w:pPr>
        <w:jc w:val="center"/>
        <w:rPr>
          <w:rFonts w:ascii="Calibri" w:hAnsi="Calibri" w:cs="Calibri"/>
          <w:sz w:val="20"/>
          <w:szCs w:val="20"/>
          <w:lang w:val="en-GB"/>
        </w:rPr>
      </w:pPr>
    </w:p>
    <w:p w14:paraId="00891A8E" w14:textId="41E81AA0" w:rsidR="009441BB" w:rsidRDefault="004475C0" w:rsidP="004475C0">
      <w:pPr>
        <w:rPr>
          <w:rFonts w:ascii="Calibri" w:hAnsi="Calibri" w:cs="Calibri"/>
          <w:sz w:val="24"/>
          <w:szCs w:val="24"/>
          <w:lang w:val="en-GB"/>
        </w:rPr>
      </w:pPr>
      <w:r>
        <w:rPr>
          <w:rFonts w:ascii="Calibri" w:hAnsi="Calibri" w:cs="Calibri"/>
          <w:sz w:val="24"/>
          <w:szCs w:val="24"/>
          <w:lang w:val="en-GB"/>
        </w:rPr>
        <w:t>The risk assessment indicates the need for surge protection whether at the point of entry of services into the structure or further downstream at distribution boards and final circuits (for example equipment cabinets). The rating of surge protection devices</w:t>
      </w:r>
      <w:r w:rsidR="00C86179">
        <w:rPr>
          <w:rFonts w:ascii="Calibri" w:hAnsi="Calibri" w:cs="Calibri"/>
          <w:sz w:val="24"/>
          <w:szCs w:val="24"/>
          <w:lang w:val="en-GB"/>
        </w:rPr>
        <w:t xml:space="preserve"> (SPD</w:t>
      </w:r>
      <w:r w:rsidR="0025633D">
        <w:rPr>
          <w:rFonts w:ascii="Calibri" w:hAnsi="Calibri" w:cs="Calibri"/>
          <w:sz w:val="24"/>
          <w:szCs w:val="24"/>
          <w:lang w:val="en-GB"/>
        </w:rPr>
        <w:t>s</w:t>
      </w:r>
      <w:r w:rsidR="00C86179">
        <w:rPr>
          <w:rFonts w:ascii="Calibri" w:hAnsi="Calibri" w:cs="Calibri"/>
          <w:sz w:val="24"/>
          <w:szCs w:val="24"/>
          <w:lang w:val="en-GB"/>
        </w:rPr>
        <w:t>)</w:t>
      </w:r>
      <w:r>
        <w:rPr>
          <w:rFonts w:ascii="Calibri" w:hAnsi="Calibri" w:cs="Calibri"/>
          <w:sz w:val="24"/>
          <w:szCs w:val="24"/>
          <w:lang w:val="en-GB"/>
        </w:rPr>
        <w:t xml:space="preserve"> depends upon their location in the distribution network. </w:t>
      </w:r>
      <w:r w:rsidR="00C86179">
        <w:rPr>
          <w:rFonts w:ascii="Calibri" w:hAnsi="Calibri" w:cs="Calibri"/>
          <w:sz w:val="24"/>
          <w:szCs w:val="24"/>
          <w:lang w:val="en-GB"/>
        </w:rPr>
        <w:t>Type 1 SPDs are located at the boundary of lightning protection zone 0</w:t>
      </w:r>
      <w:r w:rsidR="00C86179" w:rsidRPr="00C86179">
        <w:rPr>
          <w:rFonts w:ascii="Calibri" w:hAnsi="Calibri" w:cs="Calibri"/>
          <w:sz w:val="24"/>
          <w:szCs w:val="24"/>
          <w:vertAlign w:val="subscript"/>
          <w:lang w:val="en-GB"/>
        </w:rPr>
        <w:t>A</w:t>
      </w:r>
      <w:r w:rsidR="00C86179">
        <w:rPr>
          <w:rFonts w:ascii="Calibri" w:hAnsi="Calibri" w:cs="Calibri"/>
          <w:sz w:val="24"/>
          <w:szCs w:val="24"/>
          <w:lang w:val="en-GB"/>
        </w:rPr>
        <w:t xml:space="preserve"> (LPZ0)</w:t>
      </w:r>
      <w:r w:rsidR="0025633D">
        <w:rPr>
          <w:rFonts w:ascii="Calibri" w:hAnsi="Calibri" w:cs="Calibri"/>
          <w:sz w:val="24"/>
          <w:szCs w:val="24"/>
          <w:lang w:val="en-GB"/>
        </w:rPr>
        <w:t xml:space="preserve"> and the internal distribution wiring</w:t>
      </w:r>
      <w:r w:rsidR="009441BB">
        <w:rPr>
          <w:rFonts w:ascii="Calibri" w:hAnsi="Calibri" w:cs="Calibri"/>
          <w:sz w:val="24"/>
          <w:szCs w:val="24"/>
          <w:lang w:val="en-GB"/>
        </w:rPr>
        <w:t xml:space="preserve"> in </w:t>
      </w:r>
      <w:r w:rsidR="0025633D">
        <w:rPr>
          <w:rFonts w:ascii="Calibri" w:hAnsi="Calibri" w:cs="Calibri"/>
          <w:sz w:val="24"/>
          <w:szCs w:val="24"/>
          <w:lang w:val="en-GB"/>
        </w:rPr>
        <w:t>LPZ1</w:t>
      </w:r>
      <w:r w:rsidR="009441BB">
        <w:rPr>
          <w:rFonts w:ascii="Calibri" w:hAnsi="Calibri" w:cs="Calibri"/>
          <w:sz w:val="24"/>
          <w:szCs w:val="24"/>
          <w:lang w:val="en-GB"/>
        </w:rPr>
        <w:t>,</w:t>
      </w:r>
      <w:r w:rsidR="0025633D">
        <w:rPr>
          <w:rFonts w:ascii="Calibri" w:hAnsi="Calibri" w:cs="Calibri"/>
          <w:sz w:val="24"/>
          <w:szCs w:val="24"/>
          <w:lang w:val="en-GB"/>
        </w:rPr>
        <w:t xml:space="preserve"> at the main switchboard. A</w:t>
      </w:r>
      <w:r w:rsidR="00C86179">
        <w:rPr>
          <w:rFonts w:ascii="Calibri" w:hAnsi="Calibri" w:cs="Calibri"/>
          <w:sz w:val="24"/>
          <w:szCs w:val="24"/>
          <w:lang w:val="en-GB"/>
        </w:rPr>
        <w:t xml:space="preserve"> direct strike to the service </w:t>
      </w:r>
      <w:r w:rsidR="0025633D">
        <w:rPr>
          <w:rFonts w:ascii="Calibri" w:hAnsi="Calibri" w:cs="Calibri"/>
          <w:sz w:val="24"/>
          <w:szCs w:val="24"/>
          <w:lang w:val="en-GB"/>
        </w:rPr>
        <w:t xml:space="preserve">or an earth potential rise due to a direct strike to the structure </w:t>
      </w:r>
      <w:r w:rsidR="007D7D81">
        <w:rPr>
          <w:rFonts w:ascii="Calibri" w:hAnsi="Calibri" w:cs="Calibri"/>
          <w:sz w:val="24"/>
          <w:szCs w:val="24"/>
          <w:lang w:val="en-GB"/>
        </w:rPr>
        <w:t>can</w:t>
      </w:r>
      <w:r w:rsidR="0025633D">
        <w:rPr>
          <w:rFonts w:ascii="Calibri" w:hAnsi="Calibri" w:cs="Calibri"/>
          <w:sz w:val="24"/>
          <w:szCs w:val="24"/>
          <w:lang w:val="en-GB"/>
        </w:rPr>
        <w:t xml:space="preserve"> cause a proportion of the strike current to flow through the Type 1 SPD and along the service line.</w:t>
      </w:r>
    </w:p>
    <w:p w14:paraId="2EE7FA14" w14:textId="16CFF0CC" w:rsidR="0025633D" w:rsidRPr="009441BB" w:rsidRDefault="009441BB" w:rsidP="004475C0">
      <w:pPr>
        <w:rPr>
          <w:rFonts w:ascii="Calibri" w:hAnsi="Calibri" w:cs="Calibri"/>
          <w:b/>
          <w:bCs/>
          <w:sz w:val="24"/>
          <w:szCs w:val="24"/>
          <w:lang w:val="en-GB"/>
        </w:rPr>
      </w:pPr>
      <w:r w:rsidRPr="009441BB">
        <w:rPr>
          <w:rFonts w:ascii="Calibri" w:hAnsi="Calibri" w:cs="Calibri"/>
          <w:b/>
          <w:bCs/>
          <w:sz w:val="24"/>
          <w:szCs w:val="24"/>
          <w:lang w:val="en-GB"/>
        </w:rPr>
        <w:t>2.3 Recommended surge ratings</w:t>
      </w:r>
      <w:r w:rsidR="0025633D" w:rsidRPr="009441BB">
        <w:rPr>
          <w:rFonts w:ascii="Calibri" w:hAnsi="Calibri" w:cs="Calibri"/>
          <w:b/>
          <w:bCs/>
          <w:sz w:val="24"/>
          <w:szCs w:val="24"/>
          <w:lang w:val="en-GB"/>
        </w:rPr>
        <w:t xml:space="preserve"> </w:t>
      </w:r>
    </w:p>
    <w:p w14:paraId="176A0BFC" w14:textId="6591D4F1" w:rsidR="00C606C9" w:rsidRDefault="0025633D" w:rsidP="004475C0">
      <w:pPr>
        <w:rPr>
          <w:rFonts w:ascii="Calibri" w:hAnsi="Calibri" w:cs="Calibri"/>
          <w:sz w:val="24"/>
          <w:szCs w:val="24"/>
          <w:lang w:val="en-GB"/>
        </w:rPr>
      </w:pPr>
      <w:r>
        <w:rPr>
          <w:rFonts w:ascii="Calibri" w:hAnsi="Calibri" w:cs="Calibri"/>
          <w:sz w:val="24"/>
          <w:szCs w:val="24"/>
          <w:lang w:val="en-GB"/>
        </w:rPr>
        <w:t xml:space="preserve">Whilst the risk assessment can provide an indication of the rating of the various SPDs, if the structure is self-protecting this can prove difficult. Table 1 provides recommendations for SPD ratings </w:t>
      </w:r>
      <w:r w:rsidR="00212A7C">
        <w:rPr>
          <w:rFonts w:ascii="Calibri" w:hAnsi="Calibri" w:cs="Calibri"/>
          <w:sz w:val="24"/>
          <w:szCs w:val="24"/>
          <w:lang w:val="en-GB"/>
        </w:rPr>
        <w:t>at each lightning protection zone boundary.</w:t>
      </w:r>
      <w:r w:rsidR="00496FCF">
        <w:rPr>
          <w:rFonts w:ascii="Calibri" w:hAnsi="Calibri" w:cs="Calibri"/>
          <w:sz w:val="24"/>
          <w:szCs w:val="24"/>
          <w:lang w:val="en-GB"/>
        </w:rPr>
        <w:br w:type="page"/>
      </w:r>
    </w:p>
    <w:p w14:paraId="5C6B8A78" w14:textId="795AA84A" w:rsidR="00C606C9" w:rsidRDefault="00C606C9" w:rsidP="004475C0">
      <w:pPr>
        <w:rPr>
          <w:rFonts w:ascii="Calibri" w:hAnsi="Calibri" w:cs="Calibri"/>
          <w:sz w:val="24"/>
          <w:szCs w:val="24"/>
          <w:lang w:val="en-GB"/>
        </w:rPr>
      </w:pPr>
      <w:r>
        <w:rPr>
          <w:noProof/>
        </w:rPr>
        <w:lastRenderedPageBreak/>
        <w:drawing>
          <wp:inline distT="0" distB="0" distL="0" distR="0" wp14:anchorId="25F714F9" wp14:editId="4D5041E7">
            <wp:extent cx="5731510" cy="3690620"/>
            <wp:effectExtent l="0" t="0" r="2540" b="5080"/>
            <wp:docPr id="1953068933" name="Picture 1" descr="A white sheet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3068933" name="Picture 1" descr="A white sheet with black text&#10;&#10;Description automatically generated"/>
                    <pic:cNvPicPr/>
                  </pic:nvPicPr>
                  <pic:blipFill>
                    <a:blip r:embed="rId7"/>
                    <a:stretch>
                      <a:fillRect/>
                    </a:stretch>
                  </pic:blipFill>
                  <pic:spPr>
                    <a:xfrm>
                      <a:off x="0" y="0"/>
                      <a:ext cx="5731510" cy="3690620"/>
                    </a:xfrm>
                    <a:prstGeom prst="rect">
                      <a:avLst/>
                    </a:prstGeom>
                  </pic:spPr>
                </pic:pic>
              </a:graphicData>
            </a:graphic>
          </wp:inline>
        </w:drawing>
      </w:r>
    </w:p>
    <w:p w14:paraId="79712F63" w14:textId="250A095B" w:rsidR="00C606C9" w:rsidRDefault="00C606C9" w:rsidP="00C606C9">
      <w:pPr>
        <w:jc w:val="center"/>
        <w:rPr>
          <w:rFonts w:ascii="Calibri" w:hAnsi="Calibri" w:cs="Calibri"/>
          <w:sz w:val="20"/>
          <w:szCs w:val="20"/>
          <w:lang w:val="en-GB"/>
        </w:rPr>
      </w:pPr>
      <w:r w:rsidRPr="00C606C9">
        <w:rPr>
          <w:rFonts w:ascii="Calibri" w:hAnsi="Calibri" w:cs="Calibri"/>
          <w:sz w:val="20"/>
          <w:szCs w:val="20"/>
          <w:lang w:val="en-GB"/>
        </w:rPr>
        <w:t xml:space="preserve">Table 1. Recommended surge ratings </w:t>
      </w:r>
      <w:r>
        <w:rPr>
          <w:rFonts w:ascii="Calibri" w:hAnsi="Calibri" w:cs="Calibri"/>
          <w:sz w:val="20"/>
          <w:szCs w:val="20"/>
          <w:lang w:val="en-GB"/>
        </w:rPr>
        <w:t>–</w:t>
      </w:r>
      <w:r w:rsidRPr="00C606C9">
        <w:rPr>
          <w:rFonts w:ascii="Calibri" w:hAnsi="Calibri" w:cs="Calibri"/>
          <w:sz w:val="20"/>
          <w:szCs w:val="20"/>
          <w:lang w:val="en-GB"/>
        </w:rPr>
        <w:t xml:space="preserve"> power</w:t>
      </w:r>
      <w:r w:rsidR="00EB6B2A">
        <w:rPr>
          <w:rFonts w:ascii="Calibri" w:hAnsi="Calibri" w:cs="Calibri"/>
          <w:sz w:val="20"/>
          <w:szCs w:val="20"/>
          <w:lang w:val="en-GB"/>
        </w:rPr>
        <w:t xml:space="preserve"> from AS1768</w:t>
      </w:r>
    </w:p>
    <w:p w14:paraId="6113EC48" w14:textId="27BF196E" w:rsidR="00C606C9" w:rsidRDefault="00C606C9" w:rsidP="00C606C9">
      <w:pPr>
        <w:rPr>
          <w:rFonts w:ascii="Calibri" w:hAnsi="Calibri" w:cs="Calibri"/>
          <w:sz w:val="24"/>
          <w:szCs w:val="24"/>
          <w:lang w:val="en-GB"/>
        </w:rPr>
      </w:pPr>
      <w:r>
        <w:rPr>
          <w:rFonts w:ascii="Calibri" w:hAnsi="Calibri" w:cs="Calibri"/>
          <w:sz w:val="24"/>
          <w:szCs w:val="24"/>
          <w:lang w:val="en-GB"/>
        </w:rPr>
        <w:t xml:space="preserve">Table 2. shows recommended surge ratings for SPDs protecting signal and data lines. </w:t>
      </w:r>
    </w:p>
    <w:p w14:paraId="3A9074B4" w14:textId="62E0F111" w:rsidR="00C606C9" w:rsidRDefault="00C606C9" w:rsidP="00C606C9">
      <w:pPr>
        <w:rPr>
          <w:rFonts w:ascii="Calibri" w:hAnsi="Calibri" w:cs="Calibri"/>
          <w:sz w:val="24"/>
          <w:szCs w:val="24"/>
          <w:lang w:val="en-GB"/>
        </w:rPr>
      </w:pPr>
      <w:r>
        <w:rPr>
          <w:noProof/>
        </w:rPr>
        <w:drawing>
          <wp:inline distT="0" distB="0" distL="0" distR="0" wp14:anchorId="6A8CF32A" wp14:editId="0C058C93">
            <wp:extent cx="5731510" cy="2268220"/>
            <wp:effectExtent l="0" t="0" r="2540" b="0"/>
            <wp:docPr id="1058301731" name="Picture 1" descr="A list of electrical cab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8301731" name="Picture 1" descr="A list of electrical cables&#10;&#10;Description automatically generated"/>
                    <pic:cNvPicPr/>
                  </pic:nvPicPr>
                  <pic:blipFill>
                    <a:blip r:embed="rId8"/>
                    <a:stretch>
                      <a:fillRect/>
                    </a:stretch>
                  </pic:blipFill>
                  <pic:spPr>
                    <a:xfrm>
                      <a:off x="0" y="0"/>
                      <a:ext cx="5731510" cy="2268220"/>
                    </a:xfrm>
                    <a:prstGeom prst="rect">
                      <a:avLst/>
                    </a:prstGeom>
                  </pic:spPr>
                </pic:pic>
              </a:graphicData>
            </a:graphic>
          </wp:inline>
        </w:drawing>
      </w:r>
    </w:p>
    <w:p w14:paraId="3258B65D" w14:textId="345C8576" w:rsidR="00C606C9" w:rsidRDefault="00C606C9" w:rsidP="00C606C9">
      <w:pPr>
        <w:jc w:val="center"/>
        <w:rPr>
          <w:rFonts w:ascii="Calibri" w:hAnsi="Calibri" w:cs="Calibri"/>
          <w:sz w:val="20"/>
          <w:szCs w:val="20"/>
          <w:lang w:val="en-GB"/>
        </w:rPr>
      </w:pPr>
      <w:r w:rsidRPr="00C606C9">
        <w:rPr>
          <w:rFonts w:ascii="Calibri" w:hAnsi="Calibri" w:cs="Calibri"/>
          <w:sz w:val="20"/>
          <w:szCs w:val="20"/>
          <w:lang w:val="en-GB"/>
        </w:rPr>
        <w:t xml:space="preserve">Table </w:t>
      </w:r>
      <w:r>
        <w:rPr>
          <w:rFonts w:ascii="Calibri" w:hAnsi="Calibri" w:cs="Calibri"/>
          <w:sz w:val="20"/>
          <w:szCs w:val="20"/>
          <w:lang w:val="en-GB"/>
        </w:rPr>
        <w:t>2</w:t>
      </w:r>
      <w:r w:rsidRPr="00C606C9">
        <w:rPr>
          <w:rFonts w:ascii="Calibri" w:hAnsi="Calibri" w:cs="Calibri"/>
          <w:sz w:val="20"/>
          <w:szCs w:val="20"/>
          <w:lang w:val="en-GB"/>
        </w:rPr>
        <w:t xml:space="preserve">. Recommended surge ratings </w:t>
      </w:r>
      <w:r>
        <w:rPr>
          <w:rFonts w:ascii="Calibri" w:hAnsi="Calibri" w:cs="Calibri"/>
          <w:sz w:val="20"/>
          <w:szCs w:val="20"/>
          <w:lang w:val="en-GB"/>
        </w:rPr>
        <w:t>–</w:t>
      </w:r>
      <w:r w:rsidRPr="00C606C9">
        <w:rPr>
          <w:rFonts w:ascii="Calibri" w:hAnsi="Calibri" w:cs="Calibri"/>
          <w:sz w:val="20"/>
          <w:szCs w:val="20"/>
          <w:lang w:val="en-GB"/>
        </w:rPr>
        <w:t xml:space="preserve"> </w:t>
      </w:r>
      <w:r>
        <w:rPr>
          <w:rFonts w:ascii="Calibri" w:hAnsi="Calibri" w:cs="Calibri"/>
          <w:sz w:val="20"/>
          <w:szCs w:val="20"/>
          <w:lang w:val="en-GB"/>
        </w:rPr>
        <w:t>signal and data</w:t>
      </w:r>
      <w:r w:rsidR="00EB6B2A">
        <w:rPr>
          <w:rFonts w:ascii="Calibri" w:hAnsi="Calibri" w:cs="Calibri"/>
          <w:sz w:val="20"/>
          <w:szCs w:val="20"/>
          <w:lang w:val="en-GB"/>
        </w:rPr>
        <w:t xml:space="preserve"> from AS1768</w:t>
      </w:r>
    </w:p>
    <w:p w14:paraId="6A937A47" w14:textId="0C5F075D" w:rsidR="0083192B" w:rsidRDefault="000547FD">
      <w:pPr>
        <w:rPr>
          <w:rFonts w:ascii="Calibri" w:hAnsi="Calibri" w:cs="Calibri"/>
          <w:sz w:val="24"/>
          <w:szCs w:val="24"/>
          <w:lang w:val="en-GB"/>
        </w:rPr>
      </w:pPr>
      <w:r>
        <w:rPr>
          <w:rFonts w:ascii="Calibri" w:hAnsi="Calibri" w:cs="Calibri"/>
          <w:sz w:val="24"/>
          <w:szCs w:val="24"/>
          <w:lang w:val="en-GB"/>
        </w:rPr>
        <w:t>The IEC standards recognise that a direct lightning</w:t>
      </w:r>
      <w:r w:rsidR="00912DF6">
        <w:rPr>
          <w:rFonts w:ascii="Calibri" w:hAnsi="Calibri" w:cs="Calibri"/>
          <w:sz w:val="24"/>
          <w:szCs w:val="24"/>
          <w:lang w:val="en-GB"/>
        </w:rPr>
        <w:t xml:space="preserve"> strike may</w:t>
      </w:r>
      <w:r>
        <w:rPr>
          <w:rFonts w:ascii="Calibri" w:hAnsi="Calibri" w:cs="Calibri"/>
          <w:sz w:val="24"/>
          <w:szCs w:val="24"/>
          <w:lang w:val="en-GB"/>
        </w:rPr>
        <w:t xml:space="preserve"> be modelled by a current waveform</w:t>
      </w:r>
      <w:r w:rsidR="00912DF6">
        <w:rPr>
          <w:rFonts w:ascii="Calibri" w:hAnsi="Calibri" w:cs="Calibri"/>
          <w:sz w:val="24"/>
          <w:szCs w:val="24"/>
          <w:lang w:val="en-GB"/>
        </w:rPr>
        <w:t xml:space="preserve"> with a rise time of 10us and a decay of 350us (10/350), hence Type 1 SPDs have a 10/350us rating</w:t>
      </w:r>
      <w:r w:rsidR="007D7D81">
        <w:rPr>
          <w:rFonts w:ascii="Calibri" w:hAnsi="Calibri" w:cs="Calibri"/>
          <w:sz w:val="24"/>
          <w:szCs w:val="24"/>
          <w:lang w:val="en-GB"/>
        </w:rPr>
        <w:t xml:space="preserve"> as well as an 8/20us rating</w:t>
      </w:r>
      <w:r w:rsidR="00912DF6">
        <w:rPr>
          <w:rFonts w:ascii="Calibri" w:hAnsi="Calibri" w:cs="Calibri"/>
          <w:sz w:val="24"/>
          <w:szCs w:val="24"/>
          <w:lang w:val="en-GB"/>
        </w:rPr>
        <w:t xml:space="preserve">. After the LPZ0/1 boundary the subsequent current may be modelled by an 8/20us waveform, hence Type 2 and Type 3 SPDs have an 8/20us rating. </w:t>
      </w:r>
    </w:p>
    <w:p w14:paraId="162E4C45" w14:textId="77777777" w:rsidR="00496FCF" w:rsidRDefault="00496FCF">
      <w:pPr>
        <w:rPr>
          <w:rFonts w:ascii="Calibri" w:hAnsi="Calibri" w:cs="Calibri"/>
          <w:sz w:val="24"/>
          <w:szCs w:val="24"/>
          <w:lang w:val="en-GB"/>
        </w:rPr>
      </w:pPr>
    </w:p>
    <w:p w14:paraId="0238D56F" w14:textId="77777777" w:rsidR="007D7D81" w:rsidRDefault="007D7D81">
      <w:pPr>
        <w:rPr>
          <w:rFonts w:ascii="Calibri" w:hAnsi="Calibri" w:cs="Calibri"/>
          <w:sz w:val="24"/>
          <w:szCs w:val="24"/>
          <w:lang w:val="en-GB"/>
        </w:rPr>
      </w:pPr>
    </w:p>
    <w:p w14:paraId="0083A10F" w14:textId="1A7875BF" w:rsidR="00496FCF" w:rsidRDefault="00496FCF" w:rsidP="00496FCF">
      <w:pPr>
        <w:rPr>
          <w:rFonts w:ascii="Calibri" w:hAnsi="Calibri" w:cs="Calibri"/>
          <w:b/>
          <w:bCs/>
          <w:sz w:val="24"/>
          <w:szCs w:val="24"/>
          <w:lang w:val="en-GB"/>
        </w:rPr>
      </w:pPr>
      <w:r w:rsidRPr="00496FCF">
        <w:rPr>
          <w:rFonts w:ascii="Calibri" w:hAnsi="Calibri" w:cs="Calibri"/>
          <w:b/>
          <w:bCs/>
          <w:sz w:val="24"/>
          <w:szCs w:val="24"/>
          <w:lang w:val="en-GB"/>
        </w:rPr>
        <w:lastRenderedPageBreak/>
        <w:t xml:space="preserve">2.4 Surge </w:t>
      </w:r>
      <w:r w:rsidR="00F11598">
        <w:rPr>
          <w:rFonts w:ascii="Calibri" w:hAnsi="Calibri" w:cs="Calibri"/>
          <w:b/>
          <w:bCs/>
          <w:sz w:val="24"/>
          <w:szCs w:val="24"/>
          <w:lang w:val="en-GB"/>
        </w:rPr>
        <w:t>p</w:t>
      </w:r>
      <w:r w:rsidRPr="00496FCF">
        <w:rPr>
          <w:rFonts w:ascii="Calibri" w:hAnsi="Calibri" w:cs="Calibri"/>
          <w:b/>
          <w:bCs/>
          <w:sz w:val="24"/>
          <w:szCs w:val="24"/>
          <w:lang w:val="en-GB"/>
        </w:rPr>
        <w:t xml:space="preserve">rotection </w:t>
      </w:r>
      <w:r w:rsidR="00F11598">
        <w:rPr>
          <w:rFonts w:ascii="Calibri" w:hAnsi="Calibri" w:cs="Calibri"/>
          <w:b/>
          <w:bCs/>
          <w:sz w:val="24"/>
          <w:szCs w:val="24"/>
          <w:lang w:val="en-GB"/>
        </w:rPr>
        <w:t>t</w:t>
      </w:r>
      <w:r w:rsidRPr="00496FCF">
        <w:rPr>
          <w:rFonts w:ascii="Calibri" w:hAnsi="Calibri" w:cs="Calibri"/>
          <w:b/>
          <w:bCs/>
          <w:sz w:val="24"/>
          <w:szCs w:val="24"/>
          <w:lang w:val="en-GB"/>
        </w:rPr>
        <w:t>echnology</w:t>
      </w:r>
    </w:p>
    <w:p w14:paraId="040445DC" w14:textId="2BDD9522" w:rsidR="00496FCF" w:rsidRDefault="00496FCF" w:rsidP="00496FCF">
      <w:pPr>
        <w:rPr>
          <w:rFonts w:ascii="Calibri" w:hAnsi="Calibri" w:cs="Calibri"/>
          <w:i/>
          <w:iCs/>
          <w:sz w:val="20"/>
          <w:szCs w:val="20"/>
          <w:lang w:val="en-GB"/>
        </w:rPr>
      </w:pPr>
      <w:r w:rsidRPr="00F237B2">
        <w:rPr>
          <w:rFonts w:ascii="Calibri" w:hAnsi="Calibri" w:cs="Calibri"/>
          <w:i/>
          <w:iCs/>
          <w:sz w:val="20"/>
          <w:szCs w:val="20"/>
          <w:lang w:val="en-GB"/>
        </w:rPr>
        <w:t>Use the drawings on page 6 of handbook V5.0</w:t>
      </w:r>
    </w:p>
    <w:p w14:paraId="53B6F879" w14:textId="04E3F139" w:rsidR="00F237B2" w:rsidRDefault="00F237B2" w:rsidP="00496FCF">
      <w:pPr>
        <w:rPr>
          <w:rFonts w:ascii="Calibri" w:hAnsi="Calibri" w:cs="Calibri"/>
          <w:b/>
          <w:bCs/>
          <w:lang w:val="en-GB"/>
        </w:rPr>
      </w:pPr>
      <w:r>
        <w:rPr>
          <w:rFonts w:ascii="Calibri" w:hAnsi="Calibri" w:cs="Calibri"/>
          <w:b/>
          <w:bCs/>
          <w:lang w:val="en-GB"/>
        </w:rPr>
        <w:t>Surge Diverters, SD</w:t>
      </w:r>
      <w:r w:rsidR="00474CBE">
        <w:rPr>
          <w:rFonts w:ascii="Calibri" w:hAnsi="Calibri" w:cs="Calibri"/>
          <w:b/>
          <w:bCs/>
          <w:lang w:val="en-GB"/>
        </w:rPr>
        <w:t xml:space="preserve"> (Type 1/2/3)</w:t>
      </w:r>
    </w:p>
    <w:p w14:paraId="0CF3C116" w14:textId="12362662" w:rsidR="00F237B2" w:rsidRDefault="00F237B2" w:rsidP="00496FCF">
      <w:pPr>
        <w:rPr>
          <w:rFonts w:ascii="Calibri" w:hAnsi="Calibri" w:cs="Calibri"/>
          <w:lang w:val="en-GB"/>
        </w:rPr>
      </w:pPr>
      <w:r>
        <w:rPr>
          <w:rFonts w:ascii="Calibri" w:hAnsi="Calibri" w:cs="Calibri"/>
          <w:lang w:val="en-GB"/>
        </w:rPr>
        <w:t xml:space="preserve">Surge diverters are one port shunt connected devices. Novaris surge diverters are voltage clamping devices using </w:t>
      </w:r>
      <w:r w:rsidR="00EB6B2A">
        <w:rPr>
          <w:rFonts w:ascii="Calibri" w:hAnsi="Calibri" w:cs="Calibri"/>
          <w:lang w:val="en-GB"/>
        </w:rPr>
        <w:t xml:space="preserve">metal </w:t>
      </w:r>
      <w:r>
        <w:rPr>
          <w:rFonts w:ascii="Calibri" w:hAnsi="Calibri" w:cs="Calibri"/>
          <w:lang w:val="en-GB"/>
        </w:rPr>
        <w:t>oxide varistors</w:t>
      </w:r>
      <w:r w:rsidR="00EB6B2A">
        <w:rPr>
          <w:rFonts w:ascii="Calibri" w:hAnsi="Calibri" w:cs="Calibri"/>
          <w:lang w:val="en-GB"/>
        </w:rPr>
        <w:t xml:space="preserve"> (MOV)</w:t>
      </w:r>
      <w:r>
        <w:rPr>
          <w:rFonts w:ascii="Calibri" w:hAnsi="Calibri" w:cs="Calibri"/>
          <w:lang w:val="en-GB"/>
        </w:rPr>
        <w:t xml:space="preserve">. </w:t>
      </w:r>
      <w:r w:rsidR="00F2673E">
        <w:rPr>
          <w:rFonts w:ascii="Calibri" w:hAnsi="Calibri" w:cs="Calibri"/>
          <w:lang w:val="en-GB"/>
        </w:rPr>
        <w:t xml:space="preserve">They can be used in all </w:t>
      </w:r>
      <w:r w:rsidR="00474CBE">
        <w:rPr>
          <w:rFonts w:ascii="Calibri" w:hAnsi="Calibri" w:cs="Calibri"/>
          <w:lang w:val="en-GB"/>
        </w:rPr>
        <w:t>lightning protection zones and have ratings up to 200kA (8/20us) or 25kA (10/350us)</w:t>
      </w:r>
      <w:r w:rsidR="007D7D81">
        <w:rPr>
          <w:rFonts w:ascii="Calibri" w:hAnsi="Calibri" w:cs="Calibri"/>
          <w:lang w:val="en-GB"/>
        </w:rPr>
        <w:t xml:space="preserve"> per phase</w:t>
      </w:r>
      <w:r w:rsidR="00474CBE">
        <w:rPr>
          <w:rFonts w:ascii="Calibri" w:hAnsi="Calibri" w:cs="Calibri"/>
          <w:lang w:val="en-GB"/>
        </w:rPr>
        <w:t>.</w:t>
      </w:r>
    </w:p>
    <w:p w14:paraId="05F76B40" w14:textId="2597094C" w:rsidR="00474CBE" w:rsidRDefault="00474CBE" w:rsidP="00496FCF">
      <w:pPr>
        <w:rPr>
          <w:rFonts w:ascii="Calibri" w:hAnsi="Calibri" w:cs="Calibri"/>
          <w:lang w:val="en-GB"/>
        </w:rPr>
      </w:pPr>
      <w:r>
        <w:rPr>
          <w:rFonts w:ascii="Calibri" w:hAnsi="Calibri" w:cs="Calibri"/>
          <w:lang w:val="en-GB"/>
        </w:rPr>
        <w:t>HRC fuses or preferably Novaris surge circuit breakers</w:t>
      </w:r>
      <w:r w:rsidR="00757FD2">
        <w:rPr>
          <w:rFonts w:ascii="Calibri" w:hAnsi="Calibri" w:cs="Calibri"/>
          <w:lang w:val="en-GB"/>
        </w:rPr>
        <w:t>, SCB,</w:t>
      </w:r>
      <w:r>
        <w:rPr>
          <w:rFonts w:ascii="Calibri" w:hAnsi="Calibri" w:cs="Calibri"/>
          <w:lang w:val="en-GB"/>
        </w:rPr>
        <w:t xml:space="preserve"> are recommended for overcurrent protection</w:t>
      </w:r>
      <w:r w:rsidR="00EB6B2A">
        <w:rPr>
          <w:rFonts w:ascii="Calibri" w:hAnsi="Calibri" w:cs="Calibri"/>
          <w:lang w:val="en-GB"/>
        </w:rPr>
        <w:t xml:space="preserve"> of surge diverters</w:t>
      </w:r>
      <w:r>
        <w:rPr>
          <w:rFonts w:ascii="Calibri" w:hAnsi="Calibri" w:cs="Calibri"/>
          <w:lang w:val="en-GB"/>
        </w:rPr>
        <w:t xml:space="preserve">. </w:t>
      </w:r>
      <w:r w:rsidR="003C61E2">
        <w:rPr>
          <w:rFonts w:ascii="Calibri" w:hAnsi="Calibri" w:cs="Calibri"/>
          <w:lang w:val="en-GB"/>
        </w:rPr>
        <w:t xml:space="preserve"> </w:t>
      </w:r>
    </w:p>
    <w:p w14:paraId="5D1BB5C4" w14:textId="56B6C33C" w:rsidR="00474CBE" w:rsidRDefault="00474CBE" w:rsidP="00496FCF">
      <w:pPr>
        <w:rPr>
          <w:rFonts w:ascii="Calibri" w:hAnsi="Calibri" w:cs="Calibri"/>
          <w:lang w:val="en-GB"/>
        </w:rPr>
      </w:pPr>
      <w:r>
        <w:rPr>
          <w:rFonts w:ascii="Calibri" w:hAnsi="Calibri" w:cs="Calibri"/>
          <w:lang w:val="en-GB"/>
        </w:rPr>
        <w:t>Surge diverters are not recommended for installations where sustained overvoltages may be present. Hybrid spark gaps</w:t>
      </w:r>
      <w:r w:rsidR="00757FD2">
        <w:rPr>
          <w:rFonts w:ascii="Calibri" w:hAnsi="Calibri" w:cs="Calibri"/>
          <w:lang w:val="en-GB"/>
        </w:rPr>
        <w:t>, HSG,</w:t>
      </w:r>
      <w:r>
        <w:rPr>
          <w:rFonts w:ascii="Calibri" w:hAnsi="Calibri" w:cs="Calibri"/>
          <w:lang w:val="en-GB"/>
        </w:rPr>
        <w:t xml:space="preserve"> are designed for this purpose. </w:t>
      </w:r>
    </w:p>
    <w:p w14:paraId="28495019" w14:textId="6DA61ACE" w:rsidR="00474CBE" w:rsidRPr="00474CBE" w:rsidRDefault="00474CBE" w:rsidP="00496FCF">
      <w:pPr>
        <w:rPr>
          <w:rFonts w:ascii="Calibri" w:hAnsi="Calibri" w:cs="Calibri"/>
          <w:b/>
          <w:bCs/>
          <w:lang w:val="en-GB"/>
        </w:rPr>
      </w:pPr>
      <w:r w:rsidRPr="00474CBE">
        <w:rPr>
          <w:rFonts w:ascii="Calibri" w:hAnsi="Calibri" w:cs="Calibri"/>
          <w:b/>
          <w:bCs/>
          <w:lang w:val="en-GB"/>
        </w:rPr>
        <w:t>Spark Gaps, SG (Type 1)</w:t>
      </w:r>
    </w:p>
    <w:p w14:paraId="1DC850C6" w14:textId="10B5A17E" w:rsidR="00474CBE" w:rsidRDefault="00474CBE" w:rsidP="00496FCF">
      <w:pPr>
        <w:rPr>
          <w:rFonts w:ascii="Calibri" w:hAnsi="Calibri" w:cs="Calibri"/>
          <w:lang w:val="en-GB"/>
        </w:rPr>
      </w:pPr>
      <w:r>
        <w:rPr>
          <w:rFonts w:ascii="Calibri" w:hAnsi="Calibri" w:cs="Calibri"/>
          <w:lang w:val="en-GB"/>
        </w:rPr>
        <w:t>Spark gaps have high surge ratings</w:t>
      </w:r>
      <w:r w:rsidRPr="00474CBE">
        <w:rPr>
          <w:rFonts w:ascii="Calibri" w:hAnsi="Calibri" w:cs="Calibri"/>
          <w:lang w:val="en-GB"/>
        </w:rPr>
        <w:t xml:space="preserve"> </w:t>
      </w:r>
      <w:r>
        <w:rPr>
          <w:rFonts w:ascii="Calibri" w:hAnsi="Calibri" w:cs="Calibri"/>
          <w:lang w:val="en-GB"/>
        </w:rPr>
        <w:t>and are suitable for installations with highly exposed overhead LV power lines in high lightning areas.</w:t>
      </w:r>
      <w:r w:rsidR="00646642">
        <w:rPr>
          <w:rFonts w:ascii="Calibri" w:hAnsi="Calibri" w:cs="Calibri"/>
          <w:lang w:val="en-GB"/>
        </w:rPr>
        <w:t xml:space="preserve"> Spark gaps have a crowbar effect that can cause AC current to flow after being triggered. This is called follow on current. For this reason, SCBs cannot be used for overcurrent protection</w:t>
      </w:r>
      <w:r w:rsidR="00EB6B2A">
        <w:rPr>
          <w:rFonts w:ascii="Calibri" w:hAnsi="Calibri" w:cs="Calibri"/>
          <w:lang w:val="en-GB"/>
        </w:rPr>
        <w:t xml:space="preserve"> of spark gaps</w:t>
      </w:r>
      <w:r w:rsidR="00646642">
        <w:rPr>
          <w:rFonts w:ascii="Calibri" w:hAnsi="Calibri" w:cs="Calibri"/>
          <w:lang w:val="en-GB"/>
        </w:rPr>
        <w:t xml:space="preserve">. Fuses or circuit breakers must be used. </w:t>
      </w:r>
    </w:p>
    <w:p w14:paraId="67BD8D81" w14:textId="1D822492" w:rsidR="00646642" w:rsidRPr="00646642" w:rsidRDefault="00646642" w:rsidP="00496FCF">
      <w:pPr>
        <w:rPr>
          <w:rFonts w:ascii="Calibri" w:hAnsi="Calibri" w:cs="Calibri"/>
          <w:b/>
          <w:bCs/>
          <w:lang w:val="en-GB"/>
        </w:rPr>
      </w:pPr>
      <w:r w:rsidRPr="00646642">
        <w:rPr>
          <w:rFonts w:ascii="Calibri" w:hAnsi="Calibri" w:cs="Calibri"/>
          <w:b/>
          <w:bCs/>
          <w:lang w:val="en-GB"/>
        </w:rPr>
        <w:t>Hybrid Spark Gaps, HSG (Type 1)</w:t>
      </w:r>
    </w:p>
    <w:p w14:paraId="2A0798F4" w14:textId="5B4E5E22" w:rsidR="00496FCF" w:rsidRDefault="00646642">
      <w:pPr>
        <w:rPr>
          <w:rFonts w:ascii="Calibri" w:hAnsi="Calibri" w:cs="Calibri"/>
          <w:sz w:val="24"/>
          <w:szCs w:val="24"/>
          <w:lang w:val="en-GB"/>
        </w:rPr>
      </w:pPr>
      <w:r>
        <w:rPr>
          <w:rFonts w:ascii="Calibri" w:hAnsi="Calibri" w:cs="Calibri"/>
          <w:sz w:val="24"/>
          <w:szCs w:val="24"/>
          <w:lang w:val="en-GB"/>
        </w:rPr>
        <w:t xml:space="preserve">A hybrid spark gaps combine the advantages of voltage switching and voltage limiting components. They can withstand temporary overvoltages in excess of the line to line supply voltage whist providing performance almost identical to that of a surge diverter. </w:t>
      </w:r>
    </w:p>
    <w:p w14:paraId="47B809E1" w14:textId="4C890AEB" w:rsidR="00646642" w:rsidRDefault="00646642">
      <w:pPr>
        <w:rPr>
          <w:rFonts w:ascii="Calibri" w:hAnsi="Calibri" w:cs="Calibri"/>
          <w:sz w:val="24"/>
          <w:szCs w:val="24"/>
          <w:lang w:val="en-GB"/>
        </w:rPr>
      </w:pPr>
      <w:r>
        <w:rPr>
          <w:rFonts w:ascii="Calibri" w:hAnsi="Calibri" w:cs="Calibri"/>
          <w:sz w:val="24"/>
          <w:szCs w:val="24"/>
          <w:lang w:val="en-GB"/>
        </w:rPr>
        <w:t xml:space="preserve">They have negligible AC follow on current so may be protected by an SCB. </w:t>
      </w:r>
    </w:p>
    <w:p w14:paraId="581A4FA4" w14:textId="527EB5C2" w:rsidR="00646642" w:rsidRPr="00034DE7" w:rsidRDefault="00646642">
      <w:pPr>
        <w:rPr>
          <w:rFonts w:ascii="Calibri" w:hAnsi="Calibri" w:cs="Calibri"/>
          <w:b/>
          <w:bCs/>
          <w:sz w:val="24"/>
          <w:szCs w:val="24"/>
          <w:lang w:val="en-GB"/>
        </w:rPr>
      </w:pPr>
      <w:r w:rsidRPr="00034DE7">
        <w:rPr>
          <w:rFonts w:ascii="Calibri" w:hAnsi="Calibri" w:cs="Calibri"/>
          <w:b/>
          <w:bCs/>
          <w:sz w:val="24"/>
          <w:szCs w:val="24"/>
          <w:lang w:val="en-GB"/>
        </w:rPr>
        <w:t>Series Surge Protector, SSP (Type 1/2/3)</w:t>
      </w:r>
    </w:p>
    <w:p w14:paraId="6F003B36" w14:textId="23A1AF15" w:rsidR="00646642" w:rsidRDefault="00646642">
      <w:pPr>
        <w:rPr>
          <w:rFonts w:ascii="Calibri" w:hAnsi="Calibri" w:cs="Calibri"/>
          <w:sz w:val="24"/>
          <w:szCs w:val="24"/>
          <w:lang w:val="en-GB"/>
        </w:rPr>
      </w:pPr>
      <w:r>
        <w:rPr>
          <w:rFonts w:ascii="Calibri" w:hAnsi="Calibri" w:cs="Calibri"/>
          <w:sz w:val="24"/>
          <w:szCs w:val="24"/>
          <w:lang w:val="en-GB"/>
        </w:rPr>
        <w:t xml:space="preserve">Single port SPDs are compromised by the presence of </w:t>
      </w:r>
      <w:r w:rsidR="002617BE">
        <w:rPr>
          <w:rFonts w:ascii="Calibri" w:hAnsi="Calibri" w:cs="Calibri"/>
          <w:sz w:val="24"/>
          <w:szCs w:val="24"/>
          <w:lang w:val="en-GB"/>
        </w:rPr>
        <w:t>their connecting leads. Typically</w:t>
      </w:r>
      <w:r w:rsidR="007D7D81">
        <w:rPr>
          <w:rFonts w:ascii="Calibri" w:hAnsi="Calibri" w:cs="Calibri"/>
          <w:sz w:val="24"/>
          <w:szCs w:val="24"/>
          <w:lang w:val="en-GB"/>
        </w:rPr>
        <w:t>,</w:t>
      </w:r>
      <w:r w:rsidR="002617BE">
        <w:rPr>
          <w:rFonts w:ascii="Calibri" w:hAnsi="Calibri" w:cs="Calibri"/>
          <w:sz w:val="24"/>
          <w:szCs w:val="24"/>
          <w:lang w:val="en-GB"/>
        </w:rPr>
        <w:t xml:space="preserve"> voltage drops of 500V per meter can be expected under impulse conditions. </w:t>
      </w:r>
    </w:p>
    <w:p w14:paraId="2B80F72B" w14:textId="08789942" w:rsidR="002617BE" w:rsidRDefault="002617BE">
      <w:pPr>
        <w:rPr>
          <w:rFonts w:ascii="Calibri" w:hAnsi="Calibri" w:cs="Calibri"/>
          <w:sz w:val="24"/>
          <w:szCs w:val="24"/>
          <w:lang w:val="en-GB"/>
        </w:rPr>
      </w:pPr>
      <w:r>
        <w:rPr>
          <w:rFonts w:ascii="Calibri" w:hAnsi="Calibri" w:cs="Calibri"/>
          <w:sz w:val="24"/>
          <w:szCs w:val="24"/>
          <w:lang w:val="en-GB"/>
        </w:rPr>
        <w:t>For circuits that are more sensitive the two port SSP provides a means of eliminating the shunt connected leads by being placed in series with the load.</w:t>
      </w:r>
    </w:p>
    <w:p w14:paraId="101A1EB4" w14:textId="77777777" w:rsidR="00034DE7" w:rsidRDefault="002617BE">
      <w:pPr>
        <w:rPr>
          <w:rFonts w:ascii="Calibri" w:hAnsi="Calibri" w:cs="Calibri"/>
          <w:sz w:val="24"/>
          <w:szCs w:val="24"/>
          <w:lang w:val="en-GB"/>
        </w:rPr>
      </w:pPr>
      <w:r>
        <w:rPr>
          <w:rFonts w:ascii="Calibri" w:hAnsi="Calibri" w:cs="Calibri"/>
          <w:sz w:val="24"/>
          <w:szCs w:val="24"/>
          <w:lang w:val="en-GB"/>
        </w:rPr>
        <w:t xml:space="preserve">SSPs are suitable for applications such as UPS inputs, rectifiers, VSDs and motors. </w:t>
      </w:r>
    </w:p>
    <w:p w14:paraId="27A4A840" w14:textId="60F833A3" w:rsidR="002617BE" w:rsidRPr="00034DE7" w:rsidRDefault="00034DE7">
      <w:pPr>
        <w:rPr>
          <w:rFonts w:ascii="Calibri" w:hAnsi="Calibri" w:cs="Calibri"/>
          <w:b/>
          <w:bCs/>
          <w:sz w:val="24"/>
          <w:szCs w:val="24"/>
          <w:lang w:val="en-GB"/>
        </w:rPr>
      </w:pPr>
      <w:r w:rsidRPr="00034DE7">
        <w:rPr>
          <w:rFonts w:ascii="Calibri" w:hAnsi="Calibri" w:cs="Calibri"/>
          <w:b/>
          <w:bCs/>
          <w:sz w:val="24"/>
          <w:szCs w:val="24"/>
          <w:lang w:val="en-GB"/>
        </w:rPr>
        <w:t>Surge Filters, SF (Type1/2/3)</w:t>
      </w:r>
      <w:r w:rsidR="00293B8C" w:rsidRPr="00034DE7">
        <w:rPr>
          <w:rFonts w:ascii="Calibri" w:hAnsi="Calibri" w:cs="Calibri"/>
          <w:b/>
          <w:bCs/>
          <w:sz w:val="24"/>
          <w:szCs w:val="24"/>
          <w:lang w:val="en-GB"/>
        </w:rPr>
        <w:t xml:space="preserve"> </w:t>
      </w:r>
    </w:p>
    <w:p w14:paraId="70A75E5B" w14:textId="426B41C9" w:rsidR="00034DE7" w:rsidRDefault="00034DE7">
      <w:pPr>
        <w:rPr>
          <w:rFonts w:ascii="Calibri" w:hAnsi="Calibri" w:cs="Calibri"/>
          <w:sz w:val="24"/>
          <w:szCs w:val="24"/>
          <w:lang w:val="en-GB"/>
        </w:rPr>
      </w:pPr>
      <w:r>
        <w:rPr>
          <w:rFonts w:ascii="Calibri" w:hAnsi="Calibri" w:cs="Calibri"/>
          <w:sz w:val="24"/>
          <w:szCs w:val="24"/>
          <w:lang w:val="en-GB"/>
        </w:rPr>
        <w:t xml:space="preserve">Surge filters are true two port SPDs </w:t>
      </w:r>
      <w:r w:rsidR="00C70D90">
        <w:rPr>
          <w:rFonts w:ascii="Calibri" w:hAnsi="Calibri" w:cs="Calibri"/>
          <w:sz w:val="24"/>
          <w:szCs w:val="24"/>
          <w:lang w:val="en-GB"/>
        </w:rPr>
        <w:t xml:space="preserve">offering exceptionally low </w:t>
      </w:r>
      <w:r w:rsidR="00EB6B2A">
        <w:rPr>
          <w:rFonts w:ascii="Calibri" w:hAnsi="Calibri" w:cs="Calibri"/>
          <w:sz w:val="24"/>
          <w:szCs w:val="24"/>
          <w:lang w:val="en-GB"/>
        </w:rPr>
        <w:t>let-</w:t>
      </w:r>
      <w:r w:rsidR="00C70D90">
        <w:rPr>
          <w:rFonts w:ascii="Calibri" w:hAnsi="Calibri" w:cs="Calibri"/>
          <w:sz w:val="24"/>
          <w:szCs w:val="24"/>
          <w:lang w:val="en-GB"/>
        </w:rPr>
        <w:t>through voltages capable of protecting highly sensitive electronic loads.</w:t>
      </w:r>
    </w:p>
    <w:p w14:paraId="55959DB7" w14:textId="0FF7D3A8" w:rsidR="00C70D90" w:rsidRDefault="00C70D90">
      <w:pPr>
        <w:rPr>
          <w:rFonts w:ascii="Calibri" w:hAnsi="Calibri" w:cs="Calibri"/>
          <w:sz w:val="24"/>
          <w:szCs w:val="24"/>
          <w:lang w:val="en-GB"/>
        </w:rPr>
      </w:pPr>
      <w:r>
        <w:rPr>
          <w:rFonts w:ascii="Calibri" w:hAnsi="Calibri" w:cs="Calibri"/>
          <w:sz w:val="24"/>
          <w:szCs w:val="24"/>
          <w:lang w:val="en-GB"/>
        </w:rPr>
        <w:t xml:space="preserve">They comprise three stages of protection, primary surge protection, series connected low pass filters followed by secondary surge protection. </w:t>
      </w:r>
      <w:r w:rsidR="00F11598">
        <w:rPr>
          <w:rFonts w:ascii="Calibri" w:hAnsi="Calibri" w:cs="Calibri"/>
          <w:sz w:val="24"/>
          <w:szCs w:val="24"/>
          <w:lang w:val="en-GB"/>
        </w:rPr>
        <w:t xml:space="preserve">Current ratings range from 6A to 2000A per phase. </w:t>
      </w:r>
    </w:p>
    <w:p w14:paraId="367438B5" w14:textId="1D153467" w:rsidR="00C70D90" w:rsidRPr="001E50F1" w:rsidRDefault="00C70D90">
      <w:pPr>
        <w:rPr>
          <w:rFonts w:ascii="Calibri" w:hAnsi="Calibri" w:cs="Calibri"/>
          <w:sz w:val="24"/>
          <w:szCs w:val="24"/>
          <w:lang w:val="en-GB"/>
        </w:rPr>
      </w:pPr>
      <w:r>
        <w:rPr>
          <w:rFonts w:ascii="Calibri" w:hAnsi="Calibri" w:cs="Calibri"/>
          <w:sz w:val="24"/>
          <w:szCs w:val="24"/>
          <w:lang w:val="en-GB"/>
        </w:rPr>
        <w:t>They are particularly suited to the protection of data centres, server rooms, communication</w:t>
      </w:r>
      <w:r w:rsidR="00215E45">
        <w:rPr>
          <w:rFonts w:ascii="Calibri" w:hAnsi="Calibri" w:cs="Calibri"/>
          <w:sz w:val="24"/>
          <w:szCs w:val="24"/>
          <w:lang w:val="en-GB"/>
        </w:rPr>
        <w:t>s</w:t>
      </w:r>
      <w:r>
        <w:rPr>
          <w:rFonts w:ascii="Calibri" w:hAnsi="Calibri" w:cs="Calibri"/>
          <w:sz w:val="24"/>
          <w:szCs w:val="24"/>
          <w:lang w:val="en-GB"/>
        </w:rPr>
        <w:t xml:space="preserve"> and cell sites as well as remote telemetry installations. </w:t>
      </w:r>
    </w:p>
    <w:sectPr w:rsidR="00C70D90" w:rsidRPr="001E50F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8872539"/>
    <w:multiLevelType w:val="hybridMultilevel"/>
    <w:tmpl w:val="592A1C1E"/>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num w:numId="1" w16cid:durableId="17443742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50F1"/>
    <w:rsid w:val="00034DE7"/>
    <w:rsid w:val="000547FD"/>
    <w:rsid w:val="000E5CF0"/>
    <w:rsid w:val="001C4154"/>
    <w:rsid w:val="001E50F1"/>
    <w:rsid w:val="00212A7C"/>
    <w:rsid w:val="00215E45"/>
    <w:rsid w:val="0025633D"/>
    <w:rsid w:val="002617BE"/>
    <w:rsid w:val="0028574B"/>
    <w:rsid w:val="002901EB"/>
    <w:rsid w:val="00293B8C"/>
    <w:rsid w:val="003634AA"/>
    <w:rsid w:val="003A72E9"/>
    <w:rsid w:val="003C61E2"/>
    <w:rsid w:val="00417076"/>
    <w:rsid w:val="004475C0"/>
    <w:rsid w:val="00474CBE"/>
    <w:rsid w:val="00496FCF"/>
    <w:rsid w:val="004F66CF"/>
    <w:rsid w:val="00525342"/>
    <w:rsid w:val="0056480D"/>
    <w:rsid w:val="006204CC"/>
    <w:rsid w:val="00646642"/>
    <w:rsid w:val="006623EC"/>
    <w:rsid w:val="00732884"/>
    <w:rsid w:val="00757FD2"/>
    <w:rsid w:val="007D7D81"/>
    <w:rsid w:val="007E5BB1"/>
    <w:rsid w:val="0083192B"/>
    <w:rsid w:val="008F559D"/>
    <w:rsid w:val="00900BF4"/>
    <w:rsid w:val="00912DF6"/>
    <w:rsid w:val="009441BB"/>
    <w:rsid w:val="00976B88"/>
    <w:rsid w:val="00A21581"/>
    <w:rsid w:val="00AA01DE"/>
    <w:rsid w:val="00AA2242"/>
    <w:rsid w:val="00B467E5"/>
    <w:rsid w:val="00B6550F"/>
    <w:rsid w:val="00B879DA"/>
    <w:rsid w:val="00B94D99"/>
    <w:rsid w:val="00C10003"/>
    <w:rsid w:val="00C606C9"/>
    <w:rsid w:val="00C70D90"/>
    <w:rsid w:val="00C86179"/>
    <w:rsid w:val="00CB6AE6"/>
    <w:rsid w:val="00CC79DA"/>
    <w:rsid w:val="00D93264"/>
    <w:rsid w:val="00DE61C5"/>
    <w:rsid w:val="00E55ABF"/>
    <w:rsid w:val="00E909A2"/>
    <w:rsid w:val="00EB6B2A"/>
    <w:rsid w:val="00F03A07"/>
    <w:rsid w:val="00F11598"/>
    <w:rsid w:val="00F237B2"/>
    <w:rsid w:val="00F2673E"/>
    <w:rsid w:val="00F51E2A"/>
    <w:rsid w:val="00F9522C"/>
  </w:rsids>
  <m:mathPr>
    <m:mathFont m:val="Cambria Math"/>
    <m:brkBin m:val="before"/>
    <m:brkBinSub m:val="--"/>
    <m:smallFrac m:val="0"/>
    <m:dispDef/>
    <m:lMargin m:val="0"/>
    <m:rMargin m:val="0"/>
    <m:defJc m:val="centerGroup"/>
    <m:wrapIndent m:val="1440"/>
    <m:intLim m:val="subSup"/>
    <m:naryLim m:val="undOvr"/>
  </m:mathPr>
  <w:themeFontLang w:val="en-AU"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0FEBC3"/>
  <w15:chartTrackingRefBased/>
  <w15:docId w15:val="{63804AE2-7D0B-4D16-BC68-81FE30D480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E50F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E50F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E50F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E50F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E50F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E50F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E50F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E50F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E50F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E50F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E50F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E50F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E50F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E50F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E50F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E50F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E50F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E50F1"/>
    <w:rPr>
      <w:rFonts w:eastAsiaTheme="majorEastAsia" w:cstheme="majorBidi"/>
      <w:color w:val="272727" w:themeColor="text1" w:themeTint="D8"/>
    </w:rPr>
  </w:style>
  <w:style w:type="paragraph" w:styleId="Title">
    <w:name w:val="Title"/>
    <w:basedOn w:val="Normal"/>
    <w:next w:val="Normal"/>
    <w:link w:val="TitleChar"/>
    <w:uiPriority w:val="10"/>
    <w:qFormat/>
    <w:rsid w:val="001E50F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E50F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E50F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E50F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E50F1"/>
    <w:pPr>
      <w:spacing w:before="160"/>
      <w:jc w:val="center"/>
    </w:pPr>
    <w:rPr>
      <w:i/>
      <w:iCs/>
      <w:color w:val="404040" w:themeColor="text1" w:themeTint="BF"/>
    </w:rPr>
  </w:style>
  <w:style w:type="character" w:customStyle="1" w:styleId="QuoteChar">
    <w:name w:val="Quote Char"/>
    <w:basedOn w:val="DefaultParagraphFont"/>
    <w:link w:val="Quote"/>
    <w:uiPriority w:val="29"/>
    <w:rsid w:val="001E50F1"/>
    <w:rPr>
      <w:i/>
      <w:iCs/>
      <w:color w:val="404040" w:themeColor="text1" w:themeTint="BF"/>
    </w:rPr>
  </w:style>
  <w:style w:type="paragraph" w:styleId="ListParagraph">
    <w:name w:val="List Paragraph"/>
    <w:basedOn w:val="Normal"/>
    <w:uiPriority w:val="34"/>
    <w:qFormat/>
    <w:rsid w:val="001E50F1"/>
    <w:pPr>
      <w:ind w:left="720"/>
      <w:contextualSpacing/>
    </w:pPr>
  </w:style>
  <w:style w:type="character" w:styleId="IntenseEmphasis">
    <w:name w:val="Intense Emphasis"/>
    <w:basedOn w:val="DefaultParagraphFont"/>
    <w:uiPriority w:val="21"/>
    <w:qFormat/>
    <w:rsid w:val="001E50F1"/>
    <w:rPr>
      <w:i/>
      <w:iCs/>
      <w:color w:val="0F4761" w:themeColor="accent1" w:themeShade="BF"/>
    </w:rPr>
  </w:style>
  <w:style w:type="paragraph" w:styleId="IntenseQuote">
    <w:name w:val="Intense Quote"/>
    <w:basedOn w:val="Normal"/>
    <w:next w:val="Normal"/>
    <w:link w:val="IntenseQuoteChar"/>
    <w:uiPriority w:val="30"/>
    <w:qFormat/>
    <w:rsid w:val="001E50F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E50F1"/>
    <w:rPr>
      <w:i/>
      <w:iCs/>
      <w:color w:val="0F4761" w:themeColor="accent1" w:themeShade="BF"/>
    </w:rPr>
  </w:style>
  <w:style w:type="character" w:styleId="IntenseReference">
    <w:name w:val="Intense Reference"/>
    <w:basedOn w:val="DefaultParagraphFont"/>
    <w:uiPriority w:val="32"/>
    <w:qFormat/>
    <w:rsid w:val="001E50F1"/>
    <w:rPr>
      <w:b/>
      <w:bCs/>
      <w:smallCaps/>
      <w:color w:val="0F4761" w:themeColor="accent1" w:themeShade="BF"/>
      <w:spacing w:val="5"/>
    </w:rPr>
  </w:style>
  <w:style w:type="paragraph" w:styleId="Revision">
    <w:name w:val="Revision"/>
    <w:hidden/>
    <w:uiPriority w:val="99"/>
    <w:semiHidden/>
    <w:rsid w:val="00EB6B2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867</Words>
  <Characters>4942</Characters>
  <Application>Microsoft Office Word</Application>
  <DocSecurity>4</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 Tompson</dc:creator>
  <cp:keywords/>
  <dc:description/>
  <cp:lastModifiedBy>Patrina</cp:lastModifiedBy>
  <cp:revision>2</cp:revision>
  <cp:lastPrinted>2024-07-10T09:29:00Z</cp:lastPrinted>
  <dcterms:created xsi:type="dcterms:W3CDTF">2024-07-10T09:32:00Z</dcterms:created>
  <dcterms:modified xsi:type="dcterms:W3CDTF">2024-07-10T09:32:00Z</dcterms:modified>
</cp:coreProperties>
</file>